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86E08" w14:textId="05F49AFF" w:rsidR="00C12F72" w:rsidRPr="00B61811" w:rsidRDefault="00C12F72" w:rsidP="00B6181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6FEEB3D" w14:textId="77777777" w:rsidR="000463E8" w:rsidRDefault="000463E8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0A4BD33B" w14:textId="77777777" w:rsidR="000D039F" w:rsidRPr="000D039F" w:rsidRDefault="000D039F" w:rsidP="000D039F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</w:p>
    <w:p w14:paraId="5CDF08A2" w14:textId="02F4BCD3" w:rsidR="000D039F" w:rsidRDefault="00483CDE" w:rsidP="000D039F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OFFERTA</w:t>
      </w:r>
      <w:r w:rsidR="000D039F">
        <w:rPr>
          <w:rFonts w:cs="Calibri"/>
          <w:b/>
          <w:sz w:val="24"/>
          <w:szCs w:val="24"/>
        </w:rPr>
        <w:t xml:space="preserve"> TECNICA</w:t>
      </w:r>
    </w:p>
    <w:p w14:paraId="0A79F410" w14:textId="26BC2674" w:rsidR="000D6324" w:rsidRPr="000D039F" w:rsidRDefault="000D6324" w:rsidP="000D6324">
      <w:pPr>
        <w:pStyle w:val="Corpotesto"/>
        <w:spacing w:before="70" w:line="312" w:lineRule="auto"/>
        <w:ind w:left="116" w:right="113"/>
        <w:jc w:val="both"/>
        <w:rPr>
          <w:iCs/>
          <w:sz w:val="24"/>
          <w:szCs w:val="24"/>
        </w:rPr>
      </w:pPr>
    </w:p>
    <w:p w14:paraId="6E0F65C1" w14:textId="77777777" w:rsidR="00DB1443" w:rsidRPr="00C12F72" w:rsidRDefault="00DB1443" w:rsidP="00DB1443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EC4D0ED732704C38BCB63F1F498F3C9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FBF9080" w14:textId="77777777" w:rsidR="00DB1443" w:rsidRPr="0068136E" w:rsidRDefault="00DB1443" w:rsidP="00DB1443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4ACE22FB5EFF493C9058A030D202A20D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53177436" w14:textId="4B18AAC4" w:rsidR="00DB1443" w:rsidRDefault="00DB1443" w:rsidP="00DB1443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</w:t>
      </w:r>
      <w:r>
        <w:rPr>
          <w:rFonts w:cs="Calibri"/>
          <w:sz w:val="24"/>
          <w:szCs w:val="24"/>
        </w:rPr>
        <w:t>’</w:t>
      </w:r>
      <w:r w:rsidRPr="0068136E">
        <w:rPr>
          <w:rFonts w:cs="Calibri"/>
          <w:sz w:val="24"/>
          <w:szCs w:val="24"/>
        </w:rPr>
        <w:t>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F213DCCB5AB4EE19E1B5698AF279131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5D2232B" w14:textId="77777777" w:rsidR="00DB1443" w:rsidRDefault="00DB1443" w:rsidP="00DB1443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9C0383" w14:textId="77777777" w:rsidR="00DB1443" w:rsidRDefault="00DB1443" w:rsidP="00DB1443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  <w:r>
        <w:rPr>
          <w:rStyle w:val="Rimandonotaapidipagina"/>
          <w:rFonts w:cs="Calibri"/>
          <w:b/>
          <w:sz w:val="24"/>
          <w:szCs w:val="24"/>
        </w:rPr>
        <w:footnoteReference w:id="2"/>
      </w:r>
    </w:p>
    <w:p w14:paraId="3ED4285C" w14:textId="77777777" w:rsidR="00F64EC1" w:rsidRDefault="00F64EC1" w:rsidP="000D6324">
      <w:pPr>
        <w:pStyle w:val="Corpotesto"/>
        <w:spacing w:before="70" w:line="312" w:lineRule="auto"/>
        <w:ind w:left="116" w:right="114"/>
        <w:jc w:val="both"/>
      </w:pPr>
    </w:p>
    <w:p w14:paraId="653B9B30" w14:textId="55BE2601" w:rsidR="000D6324" w:rsidRPr="00DB1443" w:rsidRDefault="00067BDD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QUALIT</w:t>
      </w:r>
      <w:r w:rsidR="00DB1443">
        <w:rPr>
          <w:kern w:val="0"/>
        </w:rPr>
        <w:t>À</w:t>
      </w:r>
      <w:r w:rsidRPr="00DB1443">
        <w:rPr>
          <w:kern w:val="0"/>
        </w:rPr>
        <w:t xml:space="preserve"> - </w:t>
      </w:r>
      <w:r w:rsidR="000D6324" w:rsidRPr="00DB1443">
        <w:rPr>
          <w:kern w:val="0"/>
        </w:rPr>
        <w:t>STRUTTURA</w:t>
      </w:r>
      <w:r w:rsidR="000D6324" w:rsidRPr="00DB1443">
        <w:rPr>
          <w:spacing w:val="19"/>
          <w:kern w:val="0"/>
        </w:rPr>
        <w:t xml:space="preserve"> </w:t>
      </w:r>
      <w:r w:rsidR="000D6324" w:rsidRPr="00DB1443">
        <w:rPr>
          <w:kern w:val="0"/>
        </w:rPr>
        <w:t>ORGANIZZATIVA</w:t>
      </w:r>
      <w:r w:rsidR="00352D70" w:rsidRPr="00DB1443">
        <w:rPr>
          <w:kern w:val="0"/>
        </w:rPr>
        <w:t xml:space="preserve"> (Max </w:t>
      </w:r>
      <w:r w:rsidR="00F125CA">
        <w:rPr>
          <w:kern w:val="0"/>
        </w:rPr>
        <w:t>5</w:t>
      </w:r>
      <w:r w:rsidR="00352D70" w:rsidRPr="00DB1443">
        <w:rPr>
          <w:kern w:val="0"/>
        </w:rPr>
        <w:t xml:space="preserve"> Punti)</w:t>
      </w:r>
    </w:p>
    <w:p w14:paraId="53B780D3" w14:textId="5F4A7B73" w:rsidR="00B61811" w:rsidRPr="00423F01" w:rsidRDefault="00B61811" w:rsidP="00F25690">
      <w:pPr>
        <w:widowControl w:val="0"/>
        <w:ind w:left="116"/>
        <w:jc w:val="both"/>
        <w:rPr>
          <w:i/>
          <w:sz w:val="24"/>
          <w:szCs w:val="24"/>
        </w:rPr>
      </w:pPr>
      <w:r w:rsidRPr="00423F01">
        <w:rPr>
          <w:i/>
          <w:sz w:val="24"/>
          <w:szCs w:val="24"/>
        </w:rPr>
        <w:t>Descrivere:</w:t>
      </w:r>
      <w:bookmarkStart w:id="0" w:name="_GoBack"/>
      <w:bookmarkEnd w:id="0"/>
    </w:p>
    <w:p w14:paraId="724E3B8A" w14:textId="0CDF038A" w:rsidR="00B61811" w:rsidRPr="00DB1443" w:rsidRDefault="00B61811" w:rsidP="00DB1443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DB1443">
        <w:rPr>
          <w:i/>
          <w:sz w:val="24"/>
          <w:szCs w:val="24"/>
        </w:rPr>
        <w:t>le modalità organizzative ed operative per l</w:t>
      </w:r>
      <w:r w:rsidR="00DB1443" w:rsidRPr="00DB1443">
        <w:rPr>
          <w:i/>
          <w:sz w:val="24"/>
          <w:szCs w:val="24"/>
        </w:rPr>
        <w:t>’</w:t>
      </w:r>
      <w:r w:rsidRPr="00DB1443">
        <w:rPr>
          <w:i/>
          <w:sz w:val="24"/>
          <w:szCs w:val="24"/>
        </w:rPr>
        <w:t>erogazione complessiva dei servizi</w:t>
      </w:r>
    </w:p>
    <w:p w14:paraId="4BB8A845" w14:textId="515E3704" w:rsidR="00B61811" w:rsidRPr="00DB1443" w:rsidRDefault="00B61811" w:rsidP="00DB1443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DB1443">
        <w:rPr>
          <w:i/>
          <w:sz w:val="24"/>
          <w:szCs w:val="24"/>
        </w:rPr>
        <w:t>le modalità organizzative/operative, attività proattive, strumenti e reportistica proposti per consentire al Direttore dell</w:t>
      </w:r>
      <w:r w:rsidR="00DB1443" w:rsidRPr="00DB1443">
        <w:rPr>
          <w:i/>
          <w:sz w:val="24"/>
          <w:szCs w:val="24"/>
        </w:rPr>
        <w:t>’</w:t>
      </w:r>
      <w:r w:rsidRPr="00DB1443">
        <w:rPr>
          <w:i/>
          <w:sz w:val="24"/>
          <w:szCs w:val="24"/>
        </w:rPr>
        <w:t>Esecuzione ed al RUP del Committente di mantenere il controllo complessivo dell</w:t>
      </w:r>
      <w:r w:rsidR="00DB1443" w:rsidRPr="00DB1443">
        <w:rPr>
          <w:i/>
          <w:sz w:val="24"/>
          <w:szCs w:val="24"/>
        </w:rPr>
        <w:t>’</w:t>
      </w:r>
      <w:r w:rsidRPr="00DB1443">
        <w:rPr>
          <w:i/>
          <w:sz w:val="24"/>
          <w:szCs w:val="24"/>
        </w:rPr>
        <w:t>erogazione della fornitura.</w:t>
      </w:r>
    </w:p>
    <w:p w14:paraId="3B98F6C5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63FB995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5BF770D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D46F32F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45EC1429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CCE4AAE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113AA42" w14:textId="77777777" w:rsidR="00DB1443" w:rsidRPr="00B22707" w:rsidRDefault="00DB1443" w:rsidP="00DB14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43FB142" w14:textId="77777777" w:rsidR="00B61811" w:rsidRPr="00423F01" w:rsidRDefault="00B61811" w:rsidP="00B61811">
      <w:pPr>
        <w:widowControl w:val="0"/>
        <w:ind w:left="116" w:firstLine="26"/>
        <w:jc w:val="both"/>
        <w:rPr>
          <w:i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B04468" w14:paraId="0E898E01" w14:textId="77777777" w:rsidTr="00323148">
        <w:tc>
          <w:tcPr>
            <w:tcW w:w="9628" w:type="dxa"/>
            <w:shd w:val="clear" w:color="auto" w:fill="D9D9D9" w:themeFill="background1" w:themeFillShade="D9"/>
          </w:tcPr>
          <w:p w14:paraId="440EF84F" w14:textId="77777777" w:rsidR="00B04468" w:rsidRPr="009A00E5" w:rsidRDefault="00B04468" w:rsidP="00B04468">
            <w:pPr>
              <w:widowControl w:val="0"/>
              <w:spacing w:before="120" w:after="120"/>
              <w:jc w:val="center"/>
              <w:rPr>
                <w:b/>
                <w:i/>
                <w:szCs w:val="24"/>
              </w:rPr>
            </w:pPr>
            <w:r w:rsidRPr="009A00E5">
              <w:rPr>
                <w:b/>
                <w:i/>
                <w:szCs w:val="24"/>
              </w:rPr>
              <w:t>Progetto di riassorbimento</w:t>
            </w:r>
          </w:p>
          <w:p w14:paraId="2CB49E30" w14:textId="1883122A" w:rsidR="00323148" w:rsidRPr="00323148" w:rsidRDefault="00323148" w:rsidP="00323148">
            <w:pPr>
              <w:widowControl w:val="0"/>
              <w:jc w:val="both"/>
              <w:rPr>
                <w:sz w:val="20"/>
                <w:szCs w:val="20"/>
              </w:rPr>
            </w:pPr>
            <w:r w:rsidRPr="00323148">
              <w:rPr>
                <w:sz w:val="20"/>
                <w:szCs w:val="20"/>
              </w:rPr>
              <w:t xml:space="preserve">Essendo prevista nel bando di gara clausola sociale di assorbimento del personale dell’impresa uscente, </w:t>
            </w:r>
            <w:r w:rsidR="00105787">
              <w:rPr>
                <w:sz w:val="20"/>
                <w:szCs w:val="20"/>
              </w:rPr>
              <w:t>è richiesta la presentazione del</w:t>
            </w:r>
            <w:r w:rsidRPr="00323148">
              <w:rPr>
                <w:sz w:val="20"/>
                <w:szCs w:val="20"/>
              </w:rPr>
              <w:t xml:space="preserve"> progetto di assorbimento, salva la facoltà di dare dimostrazione efficace dell’incompatibilità dell’applicazione della clausola sociale (totale o parziale) con l’organizzazione aziendale del concorrente. Si precisa che il progetto di riassorbimento riportato nella presente sezione, non è soggetto di valutazione tecnica dal momento che l’art. 50 del Codice “</w:t>
            </w:r>
            <w:r w:rsidRPr="00323148">
              <w:rPr>
                <w:iCs/>
                <w:sz w:val="20"/>
                <w:szCs w:val="20"/>
              </w:rPr>
              <w:t>non prevede la valutazione e l’attribuzione di un punteggio ai piani di riassorbimento del personale di cui alla cosiddetta clausola sociale</w:t>
            </w:r>
            <w:r w:rsidRPr="00323148">
              <w:rPr>
                <w:sz w:val="20"/>
                <w:szCs w:val="20"/>
              </w:rPr>
              <w:t>” (TAR Toscana, Sez. II, 31 dicembre 2019, n. 1772).</w:t>
            </w:r>
          </w:p>
          <w:p w14:paraId="51F2C367" w14:textId="42395668" w:rsidR="00323148" w:rsidRDefault="00323148" w:rsidP="00323148">
            <w:pPr>
              <w:widowControl w:val="0"/>
              <w:ind w:left="116"/>
              <w:jc w:val="both"/>
              <w:rPr>
                <w:i/>
                <w:sz w:val="24"/>
                <w:szCs w:val="24"/>
              </w:rPr>
            </w:pPr>
          </w:p>
          <w:p w14:paraId="03376E6B" w14:textId="601B7A98" w:rsidR="00323148" w:rsidRDefault="00323148" w:rsidP="00323148">
            <w:pPr>
              <w:widowControl w:val="0"/>
              <w:ind w:left="116"/>
              <w:jc w:val="both"/>
              <w:rPr>
                <w:i/>
                <w:sz w:val="24"/>
                <w:szCs w:val="24"/>
              </w:rPr>
            </w:pPr>
            <w:r w:rsidRPr="00423F01">
              <w:rPr>
                <w:i/>
                <w:sz w:val="24"/>
                <w:szCs w:val="24"/>
              </w:rPr>
              <w:t>Dettagliare le seguenti informazioni rispetto al riassorbimento di personale impiegato nell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>appalto per conto dell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>operatore uscente (l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>elenco del personale e 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 xml:space="preserve">inquadramento attuale è disponibile nel paragrafo </w:t>
            </w:r>
            <w:r>
              <w:rPr>
                <w:i/>
                <w:sz w:val="24"/>
                <w:szCs w:val="24"/>
              </w:rPr>
              <w:t>7</w:t>
            </w:r>
            <w:r w:rsidRPr="00423F01">
              <w:rPr>
                <w:i/>
                <w:sz w:val="24"/>
                <w:szCs w:val="24"/>
              </w:rPr>
              <w:t xml:space="preserve"> del progetto</w:t>
            </w:r>
            <w:r>
              <w:rPr>
                <w:i/>
                <w:sz w:val="24"/>
                <w:szCs w:val="24"/>
              </w:rPr>
              <w:t>)</w:t>
            </w:r>
            <w:r w:rsidRPr="00423F01">
              <w:rPr>
                <w:i/>
                <w:sz w:val="24"/>
                <w:szCs w:val="24"/>
              </w:rPr>
              <w:t>.</w:t>
            </w:r>
          </w:p>
          <w:p w14:paraId="693F3562" w14:textId="77777777" w:rsidR="00323148" w:rsidRPr="00423F01" w:rsidRDefault="00323148" w:rsidP="00323148">
            <w:pPr>
              <w:widowControl w:val="0"/>
              <w:ind w:left="116"/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60"/>
              <w:gridCol w:w="1961"/>
              <w:gridCol w:w="2283"/>
              <w:gridCol w:w="1568"/>
              <w:gridCol w:w="1566"/>
              <w:gridCol w:w="1564"/>
            </w:tblGrid>
            <w:tr w:rsidR="00323148" w:rsidRPr="00423F01" w14:paraId="5956AD22" w14:textId="77777777" w:rsidTr="00BC04A0">
              <w:tc>
                <w:tcPr>
                  <w:tcW w:w="244" w:type="pct"/>
                </w:tcPr>
                <w:p w14:paraId="38EFF12E" w14:textId="77777777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n.</w:t>
                  </w:r>
                </w:p>
              </w:tc>
              <w:tc>
                <w:tcPr>
                  <w:tcW w:w="1043" w:type="pct"/>
                </w:tcPr>
                <w:p w14:paraId="68043FDC" w14:textId="77777777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Qualifica</w:t>
                  </w:r>
                </w:p>
              </w:tc>
              <w:tc>
                <w:tcPr>
                  <w:tcW w:w="1214" w:type="pct"/>
                </w:tcPr>
                <w:p w14:paraId="0612C613" w14:textId="77777777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Inquadramento contrattuale (CCNL e livello)</w:t>
                  </w:r>
                </w:p>
              </w:tc>
              <w:tc>
                <w:tcPr>
                  <w:tcW w:w="834" w:type="pct"/>
                </w:tcPr>
                <w:p w14:paraId="194570A4" w14:textId="77777777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Orario settimanale e giornaliero</w:t>
                  </w:r>
                </w:p>
              </w:tc>
              <w:tc>
                <w:tcPr>
                  <w:tcW w:w="833" w:type="pct"/>
                </w:tcPr>
                <w:p w14:paraId="17FEFDBA" w14:textId="77777777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Monte ore settimanale</w:t>
                  </w:r>
                </w:p>
              </w:tc>
              <w:tc>
                <w:tcPr>
                  <w:tcW w:w="833" w:type="pct"/>
                </w:tcPr>
                <w:p w14:paraId="2C587A40" w14:textId="6C888959" w:rsidR="00323148" w:rsidRPr="00323148" w:rsidRDefault="00323148" w:rsidP="00323148">
                  <w:pPr>
                    <w:widowControl w:val="0"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323148">
                    <w:rPr>
                      <w:b/>
                      <w:i/>
                      <w:sz w:val="20"/>
                      <w:szCs w:val="20"/>
                    </w:rPr>
                    <w:t>Indicare eventuali ulteriori informazioni rispetto al riassorbimento</w:t>
                  </w:r>
                </w:p>
              </w:tc>
            </w:tr>
            <w:tr w:rsidR="00323148" w:rsidRPr="00423F01" w14:paraId="2261107A" w14:textId="77777777" w:rsidTr="00BC04A0">
              <w:tc>
                <w:tcPr>
                  <w:tcW w:w="244" w:type="pct"/>
                </w:tcPr>
                <w:p w14:paraId="6D3CE0EB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43" w:type="pct"/>
                </w:tcPr>
                <w:p w14:paraId="538D82F8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4" w:type="pct"/>
                </w:tcPr>
                <w:p w14:paraId="76E637A3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</w:tcPr>
                <w:p w14:paraId="78F1565B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5D8AE1DC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3407980E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323148" w:rsidRPr="00423F01" w14:paraId="1629462D" w14:textId="77777777" w:rsidTr="00BC04A0">
              <w:tc>
                <w:tcPr>
                  <w:tcW w:w="244" w:type="pct"/>
                </w:tcPr>
                <w:p w14:paraId="00C1E56D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43" w:type="pct"/>
                </w:tcPr>
                <w:p w14:paraId="298B368E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4" w:type="pct"/>
                </w:tcPr>
                <w:p w14:paraId="5CB8A2A7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</w:tcPr>
                <w:p w14:paraId="3244C76F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13A3B88E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0AEBE127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323148" w:rsidRPr="00423F01" w14:paraId="7E8513AE" w14:textId="77777777" w:rsidTr="00BC04A0">
              <w:tc>
                <w:tcPr>
                  <w:tcW w:w="244" w:type="pct"/>
                </w:tcPr>
                <w:p w14:paraId="4875D7E1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43" w:type="pct"/>
                </w:tcPr>
                <w:p w14:paraId="6BE7C108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14" w:type="pct"/>
                </w:tcPr>
                <w:p w14:paraId="34E53822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4" w:type="pct"/>
                </w:tcPr>
                <w:p w14:paraId="58A73D4D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22E7A1B8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33" w:type="pct"/>
                </w:tcPr>
                <w:p w14:paraId="2B33D527" w14:textId="77777777" w:rsidR="00323148" w:rsidRPr="00423F01" w:rsidRDefault="00323148" w:rsidP="00323148">
                  <w:pPr>
                    <w:widowControl w:val="0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5250E43C" w14:textId="77777777" w:rsidR="00323148" w:rsidRPr="00423F01" w:rsidRDefault="00323148" w:rsidP="00323148">
            <w:pPr>
              <w:widowControl w:val="0"/>
              <w:ind w:left="116"/>
              <w:jc w:val="both"/>
              <w:rPr>
                <w:i/>
                <w:sz w:val="24"/>
                <w:szCs w:val="24"/>
              </w:rPr>
            </w:pPr>
          </w:p>
          <w:p w14:paraId="4F6D19B6" w14:textId="267E2059" w:rsidR="00323148" w:rsidRDefault="00323148" w:rsidP="00323148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Oppure</w:t>
            </w:r>
          </w:p>
          <w:p w14:paraId="09AB5446" w14:textId="77777777" w:rsidR="00323148" w:rsidRPr="00423F01" w:rsidRDefault="00323148" w:rsidP="00323148">
            <w:pPr>
              <w:widowControl w:val="0"/>
              <w:jc w:val="both"/>
              <w:rPr>
                <w:i/>
                <w:sz w:val="24"/>
                <w:szCs w:val="24"/>
              </w:rPr>
            </w:pPr>
          </w:p>
          <w:p w14:paraId="2780412C" w14:textId="77777777" w:rsidR="00323148" w:rsidRPr="00423F01" w:rsidRDefault="00323148" w:rsidP="00323148">
            <w:pPr>
              <w:widowControl w:val="0"/>
              <w:ind w:left="116"/>
              <w:jc w:val="both"/>
              <w:rPr>
                <w:sz w:val="24"/>
                <w:szCs w:val="24"/>
              </w:rPr>
            </w:pPr>
            <w:r w:rsidRPr="00423F01">
              <w:rPr>
                <w:i/>
                <w:sz w:val="24"/>
                <w:szCs w:val="24"/>
              </w:rPr>
              <w:t>In caso di incompatibilità dell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>applicazione della clausola sociale (totale o parziale) con l</w:t>
            </w:r>
            <w:r>
              <w:rPr>
                <w:i/>
                <w:sz w:val="24"/>
                <w:szCs w:val="24"/>
              </w:rPr>
              <w:t>’</w:t>
            </w:r>
            <w:r w:rsidRPr="00423F01">
              <w:rPr>
                <w:i/>
                <w:sz w:val="24"/>
                <w:szCs w:val="24"/>
              </w:rPr>
              <w:t>organizzazione aziendale del concorrente, riportare le motivazioni e la dimostrazione di tale incompatibilità</w:t>
            </w:r>
            <w:r w:rsidRPr="00423F01">
              <w:rPr>
                <w:sz w:val="24"/>
                <w:szCs w:val="24"/>
              </w:rPr>
              <w:t>.</w:t>
            </w:r>
          </w:p>
          <w:p w14:paraId="4D61D17C" w14:textId="77777777" w:rsidR="00323148" w:rsidRPr="009A00E5" w:rsidRDefault="00323148" w:rsidP="0032314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</w:rPr>
            </w:pPr>
          </w:p>
          <w:p w14:paraId="3CAE5B36" w14:textId="77777777" w:rsidR="00323148" w:rsidRPr="00B22707" w:rsidRDefault="00323148" w:rsidP="0032314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07EE064E" w14:textId="77777777" w:rsidR="00323148" w:rsidRPr="00B22707" w:rsidRDefault="00323148" w:rsidP="0032314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51749016" w14:textId="77777777" w:rsidR="00323148" w:rsidRPr="00B22707" w:rsidRDefault="00323148" w:rsidP="0032314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05F7CD3F" w14:textId="77777777" w:rsidR="00B04468" w:rsidRDefault="00B04468" w:rsidP="00C21DE2">
            <w:pPr>
              <w:widowControl w:val="0"/>
              <w:spacing w:before="120" w:after="120"/>
              <w:jc w:val="center"/>
              <w:rPr>
                <w:b/>
                <w:i/>
                <w:szCs w:val="24"/>
              </w:rPr>
            </w:pPr>
          </w:p>
        </w:tc>
      </w:tr>
    </w:tbl>
    <w:p w14:paraId="556491F8" w14:textId="77777777" w:rsidR="00C21DE2" w:rsidRDefault="00C21DE2" w:rsidP="00F25690">
      <w:pPr>
        <w:widowControl w:val="0"/>
        <w:ind w:left="116"/>
        <w:jc w:val="both"/>
        <w:rPr>
          <w:i/>
          <w:sz w:val="24"/>
          <w:szCs w:val="24"/>
        </w:rPr>
      </w:pPr>
    </w:p>
    <w:p w14:paraId="64FE3956" w14:textId="07EA91EE" w:rsidR="00B61811" w:rsidRDefault="00B61811" w:rsidP="00B61811">
      <w:pPr>
        <w:widowControl w:val="0"/>
        <w:ind w:left="116"/>
        <w:jc w:val="both"/>
        <w:rPr>
          <w:i/>
          <w:szCs w:val="24"/>
        </w:rPr>
      </w:pPr>
    </w:p>
    <w:p w14:paraId="3CB26BE5" w14:textId="6D57F957" w:rsidR="00B61811" w:rsidRPr="00DB1443" w:rsidRDefault="00067BDD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QUALIT</w:t>
      </w:r>
      <w:r w:rsidR="00DB1443">
        <w:rPr>
          <w:kern w:val="0"/>
        </w:rPr>
        <w:t>À</w:t>
      </w:r>
      <w:r w:rsidRPr="00DB1443">
        <w:rPr>
          <w:kern w:val="0"/>
        </w:rPr>
        <w:t xml:space="preserve"> - </w:t>
      </w:r>
      <w:r w:rsidR="00B61811" w:rsidRPr="00DB1443">
        <w:rPr>
          <w:kern w:val="0"/>
        </w:rPr>
        <w:t>STRUTTURE TECNICHE DI SUPPORTO</w:t>
      </w:r>
      <w:r w:rsidR="00352D70" w:rsidRPr="00DB1443">
        <w:rPr>
          <w:kern w:val="0"/>
        </w:rPr>
        <w:t xml:space="preserve"> (Max </w:t>
      </w:r>
      <w:r w:rsidR="00F125CA">
        <w:rPr>
          <w:kern w:val="0"/>
        </w:rPr>
        <w:t>8</w:t>
      </w:r>
      <w:r w:rsidR="00352D70" w:rsidRPr="00DB1443">
        <w:rPr>
          <w:kern w:val="0"/>
        </w:rPr>
        <w:t xml:space="preserve"> Punti)</w:t>
      </w:r>
    </w:p>
    <w:p w14:paraId="43640EE3" w14:textId="3DC8D11A" w:rsidR="00352D70" w:rsidRPr="00105787" w:rsidRDefault="00B61811" w:rsidP="00105787">
      <w:pPr>
        <w:pStyle w:val="Corpotesto"/>
        <w:spacing w:after="0"/>
        <w:ind w:left="116" w:right="122"/>
        <w:contextualSpacing/>
        <w:jc w:val="both"/>
        <w:rPr>
          <w:i/>
          <w:iCs/>
          <w:sz w:val="24"/>
          <w:szCs w:val="24"/>
        </w:rPr>
      </w:pPr>
      <w:r w:rsidRPr="00105787">
        <w:rPr>
          <w:i/>
          <w:iCs/>
          <w:sz w:val="24"/>
          <w:szCs w:val="24"/>
        </w:rPr>
        <w:t>Descrivere</w:t>
      </w:r>
      <w:r w:rsidRPr="00105787">
        <w:rPr>
          <w:i/>
          <w:iCs/>
          <w:spacing w:val="-10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la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proposta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di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strutture</w:t>
      </w:r>
      <w:r w:rsidRPr="00105787">
        <w:rPr>
          <w:i/>
          <w:iCs/>
          <w:spacing w:val="-10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di</w:t>
      </w:r>
      <w:r w:rsidRPr="00105787">
        <w:rPr>
          <w:i/>
          <w:iCs/>
          <w:spacing w:val="-9"/>
          <w:sz w:val="24"/>
          <w:szCs w:val="24"/>
        </w:rPr>
        <w:t xml:space="preserve"> </w:t>
      </w:r>
      <w:proofErr w:type="spellStart"/>
      <w:r w:rsidRPr="00105787">
        <w:rPr>
          <w:i/>
          <w:iCs/>
          <w:sz w:val="24"/>
          <w:szCs w:val="24"/>
        </w:rPr>
        <w:t>competence</w:t>
      </w:r>
      <w:proofErr w:type="spellEnd"/>
      <w:r w:rsidRPr="00105787">
        <w:rPr>
          <w:i/>
          <w:iCs/>
          <w:spacing w:val="-9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center</w:t>
      </w:r>
      <w:r w:rsidRPr="00105787">
        <w:rPr>
          <w:i/>
          <w:iCs/>
          <w:spacing w:val="-9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di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cui</w:t>
      </w:r>
      <w:r w:rsidRPr="00105787">
        <w:rPr>
          <w:i/>
          <w:iCs/>
          <w:spacing w:val="-9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il</w:t>
      </w:r>
      <w:r w:rsidRPr="00105787">
        <w:rPr>
          <w:i/>
          <w:iCs/>
          <w:spacing w:val="-9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concorrente</w:t>
      </w:r>
      <w:r w:rsidRPr="00105787">
        <w:rPr>
          <w:i/>
          <w:iCs/>
          <w:spacing w:val="-9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dispone</w:t>
      </w:r>
      <w:r w:rsidRPr="00105787">
        <w:rPr>
          <w:i/>
          <w:iCs/>
          <w:spacing w:val="-10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a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supporto</w:t>
      </w:r>
      <w:r w:rsidRPr="00105787">
        <w:rPr>
          <w:i/>
          <w:iCs/>
          <w:spacing w:val="-8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delle</w:t>
      </w:r>
      <w:r w:rsidRPr="00105787">
        <w:rPr>
          <w:i/>
          <w:iCs/>
          <w:spacing w:val="-10"/>
          <w:sz w:val="24"/>
          <w:szCs w:val="24"/>
        </w:rPr>
        <w:t xml:space="preserve"> </w:t>
      </w:r>
      <w:r w:rsidR="00105787" w:rsidRPr="00105787">
        <w:rPr>
          <w:i/>
          <w:iCs/>
          <w:sz w:val="24"/>
          <w:szCs w:val="24"/>
        </w:rPr>
        <w:t>proprie</w:t>
      </w:r>
      <w:r w:rsidR="00105787">
        <w:rPr>
          <w:i/>
          <w:iCs/>
          <w:sz w:val="24"/>
          <w:szCs w:val="24"/>
        </w:rPr>
        <w:t xml:space="preserve"> strutture</w:t>
      </w:r>
      <w:r w:rsidRPr="00105787">
        <w:rPr>
          <w:i/>
          <w:iCs/>
          <w:spacing w:val="-2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operative</w:t>
      </w:r>
      <w:r w:rsidRPr="00105787">
        <w:rPr>
          <w:i/>
          <w:iCs/>
          <w:spacing w:val="-2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ovvero</w:t>
      </w:r>
      <w:r w:rsidRPr="00105787">
        <w:rPr>
          <w:i/>
          <w:iCs/>
          <w:spacing w:val="-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da</w:t>
      </w:r>
      <w:r w:rsidRPr="00105787">
        <w:rPr>
          <w:i/>
          <w:iCs/>
          <w:spacing w:val="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rendere</w:t>
      </w:r>
      <w:r w:rsidRPr="00105787">
        <w:rPr>
          <w:i/>
          <w:iCs/>
          <w:spacing w:val="-2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disponibili</w:t>
      </w:r>
      <w:r w:rsidRPr="00105787">
        <w:rPr>
          <w:i/>
          <w:iCs/>
          <w:spacing w:val="-2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alla</w:t>
      </w:r>
      <w:r w:rsidRPr="00105787">
        <w:rPr>
          <w:i/>
          <w:iCs/>
          <w:spacing w:val="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Committente,</w:t>
      </w:r>
      <w:r w:rsidRPr="00105787">
        <w:rPr>
          <w:i/>
          <w:iCs/>
          <w:spacing w:val="-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senza</w:t>
      </w:r>
      <w:r w:rsidRPr="00105787">
        <w:rPr>
          <w:i/>
          <w:iCs/>
          <w:spacing w:val="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alcun onere</w:t>
      </w:r>
      <w:r w:rsidRPr="00105787">
        <w:rPr>
          <w:i/>
          <w:iCs/>
          <w:spacing w:val="-2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per</w:t>
      </w:r>
      <w:r w:rsidRPr="00105787">
        <w:rPr>
          <w:i/>
          <w:iCs/>
          <w:spacing w:val="1"/>
          <w:sz w:val="24"/>
          <w:szCs w:val="24"/>
        </w:rPr>
        <w:t xml:space="preserve"> </w:t>
      </w:r>
      <w:r w:rsidRPr="00105787">
        <w:rPr>
          <w:i/>
          <w:iCs/>
          <w:sz w:val="24"/>
          <w:szCs w:val="24"/>
        </w:rPr>
        <w:t>la stessa.</w:t>
      </w:r>
      <w:r w:rsidR="00323148" w:rsidRPr="00105787">
        <w:rPr>
          <w:i/>
          <w:iCs/>
          <w:sz w:val="24"/>
          <w:szCs w:val="24"/>
        </w:rPr>
        <w:t xml:space="preserve"> In particolare si chiede di indicare esplicitamente</w:t>
      </w:r>
      <w:r w:rsidR="00352D70" w:rsidRPr="00105787">
        <w:rPr>
          <w:i/>
          <w:iCs/>
          <w:sz w:val="24"/>
          <w:szCs w:val="24"/>
        </w:rPr>
        <w:t>:</w:t>
      </w:r>
    </w:p>
    <w:p w14:paraId="0B571743" w14:textId="59D66580" w:rsidR="00352D70" w:rsidRPr="00105787" w:rsidRDefault="00352D70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numero e tipologia di tecnologie presidiate attraverso tali strutture, nell</w:t>
      </w:r>
      <w:r w:rsidR="00DB1443" w:rsidRPr="00105787">
        <w:rPr>
          <w:i/>
          <w:sz w:val="24"/>
          <w:szCs w:val="24"/>
        </w:rPr>
        <w:t>’</w:t>
      </w:r>
      <w:r w:rsidRPr="00105787">
        <w:rPr>
          <w:i/>
          <w:sz w:val="24"/>
          <w:szCs w:val="24"/>
        </w:rPr>
        <w:t>ambito di quelle utilizzate per il presente Appalto;</w:t>
      </w:r>
    </w:p>
    <w:p w14:paraId="27240A5B" w14:textId="0F34AC8A" w:rsidR="00352D70" w:rsidRPr="00105787" w:rsidRDefault="00352D70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modalità e tempi di attivazione di tali strutture da parte delle risorse operative del Fornitore, per attivare         meccanismi di escalation in caso di malfunzionamenti/problemi di elevata criticità o urgenza, anche con interventi on-site presso la sede della Committente.</w:t>
      </w:r>
    </w:p>
    <w:p w14:paraId="300A66CC" w14:textId="72CBE76C" w:rsidR="00352D70" w:rsidRPr="00105787" w:rsidRDefault="00352D70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modalità e tempi di attivazione di tali risorse da parte della Committente, per ottenere consulenza su specifici argomenti tecnici alla continuità e alla qualità dei servizi erogati.</w:t>
      </w:r>
    </w:p>
    <w:p w14:paraId="6E47EF7D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8BB7DD4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BD70BC1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3EAA781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C28E924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884C580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899748D" w14:textId="77777777" w:rsidR="00323148" w:rsidRPr="00B22707" w:rsidRDefault="00323148" w:rsidP="00323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4CED0A56" w14:textId="77777777" w:rsidR="00B61811" w:rsidRPr="00B61811" w:rsidRDefault="00B61811" w:rsidP="00B61811">
      <w:pPr>
        <w:widowControl w:val="0"/>
        <w:ind w:left="116"/>
        <w:jc w:val="both"/>
        <w:rPr>
          <w:i/>
          <w:szCs w:val="24"/>
        </w:rPr>
      </w:pPr>
    </w:p>
    <w:p w14:paraId="0E373C38" w14:textId="651DDA19" w:rsidR="000D6324" w:rsidRPr="00DB1443" w:rsidRDefault="00067BDD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QUALIT</w:t>
      </w:r>
      <w:r w:rsidR="00DB1443">
        <w:rPr>
          <w:kern w:val="0"/>
        </w:rPr>
        <w:t>À</w:t>
      </w:r>
      <w:r w:rsidRPr="00DB1443">
        <w:rPr>
          <w:kern w:val="0"/>
        </w:rPr>
        <w:t xml:space="preserve"> - </w:t>
      </w:r>
      <w:r w:rsidR="000D6324" w:rsidRPr="00DB1443">
        <w:rPr>
          <w:kern w:val="0"/>
        </w:rPr>
        <w:t>PIANI DI FORMAZIONE PROFESSIONALE</w:t>
      </w:r>
      <w:r w:rsidR="00423F01" w:rsidRPr="00DB1443">
        <w:rPr>
          <w:kern w:val="0"/>
        </w:rPr>
        <w:t xml:space="preserve"> (Max </w:t>
      </w:r>
      <w:r w:rsidR="00F125CA">
        <w:rPr>
          <w:kern w:val="0"/>
        </w:rPr>
        <w:t>7</w:t>
      </w:r>
      <w:r w:rsidR="00423F01" w:rsidRPr="00DB1443">
        <w:rPr>
          <w:kern w:val="0"/>
        </w:rPr>
        <w:t xml:space="preserve"> punti)</w:t>
      </w:r>
    </w:p>
    <w:p w14:paraId="780DD61B" w14:textId="35199677" w:rsidR="000D6324" w:rsidRPr="00423F01" w:rsidRDefault="000D6324" w:rsidP="00105787">
      <w:pPr>
        <w:pStyle w:val="Corpotesto"/>
        <w:spacing w:after="0"/>
        <w:ind w:left="116" w:right="122"/>
        <w:contextualSpacing/>
        <w:jc w:val="both"/>
        <w:rPr>
          <w:i/>
          <w:iCs/>
          <w:sz w:val="24"/>
          <w:szCs w:val="24"/>
        </w:rPr>
      </w:pPr>
      <w:r w:rsidRPr="00105787">
        <w:rPr>
          <w:i/>
          <w:iCs/>
          <w:sz w:val="24"/>
          <w:szCs w:val="24"/>
        </w:rPr>
        <w:t xml:space="preserve">Descrivere la proposta di piani di formazione continua per il costante aggiornamento tecnologico del personale </w:t>
      </w:r>
      <w:r w:rsidRPr="00423F01">
        <w:rPr>
          <w:i/>
          <w:iCs/>
          <w:sz w:val="24"/>
          <w:szCs w:val="24"/>
        </w:rPr>
        <w:t>impiegato</w:t>
      </w:r>
      <w:r w:rsidRPr="00105787">
        <w:rPr>
          <w:i/>
          <w:iCs/>
          <w:sz w:val="24"/>
          <w:szCs w:val="24"/>
        </w:rPr>
        <w:t xml:space="preserve"> </w:t>
      </w:r>
      <w:r w:rsidRPr="00423F01">
        <w:rPr>
          <w:i/>
          <w:iCs/>
          <w:sz w:val="24"/>
          <w:szCs w:val="24"/>
        </w:rPr>
        <w:t>nel</w:t>
      </w:r>
      <w:r w:rsidRPr="00105787">
        <w:rPr>
          <w:i/>
          <w:iCs/>
          <w:sz w:val="24"/>
          <w:szCs w:val="24"/>
        </w:rPr>
        <w:t xml:space="preserve"> </w:t>
      </w:r>
      <w:r w:rsidRPr="00423F01">
        <w:rPr>
          <w:i/>
          <w:iCs/>
          <w:sz w:val="24"/>
          <w:szCs w:val="24"/>
        </w:rPr>
        <w:t>presente</w:t>
      </w:r>
      <w:r w:rsidRPr="00105787">
        <w:rPr>
          <w:i/>
          <w:iCs/>
          <w:sz w:val="24"/>
          <w:szCs w:val="24"/>
        </w:rPr>
        <w:t xml:space="preserve"> </w:t>
      </w:r>
      <w:r w:rsidRPr="00423F01">
        <w:rPr>
          <w:i/>
          <w:iCs/>
          <w:sz w:val="24"/>
          <w:szCs w:val="24"/>
        </w:rPr>
        <w:t>Appalto.</w:t>
      </w:r>
      <w:r w:rsidR="00105787">
        <w:rPr>
          <w:i/>
          <w:iCs/>
          <w:sz w:val="24"/>
          <w:szCs w:val="24"/>
        </w:rPr>
        <w:t xml:space="preserve"> </w:t>
      </w:r>
      <w:r w:rsidR="00105787" w:rsidRPr="00105787">
        <w:rPr>
          <w:i/>
          <w:iCs/>
          <w:sz w:val="24"/>
          <w:szCs w:val="24"/>
        </w:rPr>
        <w:t>In particolare si chiede di indicare</w:t>
      </w:r>
      <w:r w:rsidR="00105787">
        <w:rPr>
          <w:i/>
          <w:iCs/>
          <w:sz w:val="24"/>
          <w:szCs w:val="24"/>
        </w:rPr>
        <w:t>:</w:t>
      </w:r>
    </w:p>
    <w:p w14:paraId="0070FDBE" w14:textId="7D150A73" w:rsidR="00423F01" w:rsidRPr="00105787" w:rsidRDefault="00423F01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numero medio di giorni di formazione previsti;</w:t>
      </w:r>
    </w:p>
    <w:p w14:paraId="09C30F0F" w14:textId="25EDB6E6" w:rsidR="00423F01" w:rsidRPr="00105787" w:rsidRDefault="00423F01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lastRenderedPageBreak/>
        <w:t>distribuzione temporale dei corsi di formazione nell</w:t>
      </w:r>
      <w:r w:rsidR="00DB1443" w:rsidRPr="00105787">
        <w:rPr>
          <w:i/>
          <w:sz w:val="24"/>
          <w:szCs w:val="24"/>
        </w:rPr>
        <w:t>’</w:t>
      </w:r>
      <w:r w:rsidRPr="00105787">
        <w:rPr>
          <w:i/>
          <w:sz w:val="24"/>
          <w:szCs w:val="24"/>
        </w:rPr>
        <w:t>arco di durata dell</w:t>
      </w:r>
      <w:r w:rsidR="00DB1443" w:rsidRPr="00105787">
        <w:rPr>
          <w:i/>
          <w:sz w:val="24"/>
          <w:szCs w:val="24"/>
        </w:rPr>
        <w:t>’</w:t>
      </w:r>
      <w:r w:rsidRPr="00105787">
        <w:rPr>
          <w:i/>
          <w:sz w:val="24"/>
          <w:szCs w:val="24"/>
        </w:rPr>
        <w:t>Appalto;</w:t>
      </w:r>
    </w:p>
    <w:p w14:paraId="1B256C4C" w14:textId="0E5D9505" w:rsidR="00423F01" w:rsidRPr="00105787" w:rsidRDefault="00423F01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metodologie e criteri utilizzati nella predisposizione dei percorsi di formazione/certificazione;</w:t>
      </w:r>
    </w:p>
    <w:p w14:paraId="05B86748" w14:textId="7700B8FE" w:rsidR="00423F01" w:rsidRPr="00105787" w:rsidRDefault="00423F01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soluzioni organizzative previste per raggiungere gli obiettivi senza creare pregiudizio alla continuità e alla qualità dei servizi erogati;</w:t>
      </w:r>
    </w:p>
    <w:p w14:paraId="2B4F2BF9" w14:textId="50AAFFAF" w:rsidR="00423F01" w:rsidRPr="00105787" w:rsidRDefault="00423F01" w:rsidP="00105787">
      <w:pPr>
        <w:pStyle w:val="Paragrafoelenco"/>
        <w:widowControl w:val="0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105787">
        <w:rPr>
          <w:i/>
          <w:sz w:val="24"/>
          <w:szCs w:val="24"/>
        </w:rPr>
        <w:t>indicazione puntuale delle modalità con cui sarà data evidenza dell</w:t>
      </w:r>
      <w:r w:rsidR="00DB1443" w:rsidRPr="00105787">
        <w:rPr>
          <w:i/>
          <w:sz w:val="24"/>
          <w:szCs w:val="24"/>
        </w:rPr>
        <w:t>’</w:t>
      </w:r>
      <w:r w:rsidRPr="00105787">
        <w:rPr>
          <w:i/>
          <w:sz w:val="24"/>
          <w:szCs w:val="24"/>
        </w:rPr>
        <w:t>esito dei corsi programmati e sostenuti e la periodicità proposta per la verifica della stessa.</w:t>
      </w:r>
    </w:p>
    <w:p w14:paraId="60FF701B" w14:textId="77777777" w:rsidR="00D844E1" w:rsidRPr="00B61811" w:rsidRDefault="00D844E1" w:rsidP="00D844E1">
      <w:pPr>
        <w:widowControl w:val="0"/>
        <w:ind w:left="116"/>
        <w:jc w:val="both"/>
        <w:rPr>
          <w:i/>
          <w:szCs w:val="24"/>
        </w:rPr>
      </w:pPr>
    </w:p>
    <w:p w14:paraId="427CB352" w14:textId="2FA52006" w:rsidR="00D844E1" w:rsidRPr="00DB1443" w:rsidRDefault="00D844E1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SERVIZI MIGLIORATIVI – OPZIONE 1 (Max 6 punti)</w:t>
      </w:r>
    </w:p>
    <w:p w14:paraId="3902AF1A" w14:textId="6B5B5F7F" w:rsidR="00D844E1" w:rsidRDefault="00105787" w:rsidP="00D844E1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>, senza oneri aggiuntivi e per tutta la durata contrattuale</w:t>
      </w:r>
      <w:r>
        <w:rPr>
          <w:sz w:val="24"/>
          <w:szCs w:val="24"/>
        </w:rPr>
        <w:t>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="005B248C" w:rsidRPr="005B248C">
        <w:rPr>
          <w:sz w:val="24"/>
          <w:szCs w:val="24"/>
        </w:rPr>
        <w:t>ornitura dei servizi Opzionali descritti nel Capitolato Speciale d</w:t>
      </w:r>
      <w:r w:rsidR="00DB1443">
        <w:rPr>
          <w:sz w:val="24"/>
          <w:szCs w:val="24"/>
        </w:rPr>
        <w:t>’</w:t>
      </w:r>
      <w:r w:rsidR="005B248C" w:rsidRPr="005B248C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5B248C" w:rsidRPr="005B248C">
        <w:rPr>
          <w:sz w:val="24"/>
          <w:szCs w:val="24"/>
        </w:rPr>
        <w:t>Articolo VII.1. Opzione 1 - Servizio Supporto specialistico Sistemista Senior della Rete Dati di Ateneo – estensione ambienti Linux</w:t>
      </w:r>
      <w:r w:rsidR="005B248C">
        <w:rPr>
          <w:sz w:val="24"/>
          <w:szCs w:val="24"/>
        </w:rPr>
        <w:t xml:space="preserve">: </w:t>
      </w:r>
    </w:p>
    <w:p w14:paraId="54B671B6" w14:textId="123677AC" w:rsidR="005B248C" w:rsidRDefault="005B248C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E99B5DC" w14:textId="4AE3B6EA" w:rsidR="005B248C" w:rsidRDefault="005B248C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DFBDEBB" w14:textId="2115285F" w:rsidR="005B248C" w:rsidRPr="00DB1443" w:rsidRDefault="005B248C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 xml:space="preserve">SERVIZI MIGLIORATIVI – OPZIONE 2 (Max </w:t>
      </w:r>
      <w:r w:rsidR="00A14938" w:rsidRPr="00DB1443">
        <w:rPr>
          <w:kern w:val="0"/>
        </w:rPr>
        <w:t>5</w:t>
      </w:r>
      <w:r w:rsidRPr="00DB1443">
        <w:rPr>
          <w:kern w:val="0"/>
        </w:rPr>
        <w:t xml:space="preserve"> punti)</w:t>
      </w:r>
    </w:p>
    <w:p w14:paraId="729C9282" w14:textId="28406800" w:rsidR="005B248C" w:rsidRDefault="00105787" w:rsidP="005B248C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>, senza oneri aggiuntivi e per tutta la durata contrattuale</w:t>
      </w:r>
      <w:r>
        <w:rPr>
          <w:sz w:val="24"/>
          <w:szCs w:val="24"/>
        </w:rPr>
        <w:t>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 xml:space="preserve">ornitura </w:t>
      </w:r>
      <w:r w:rsidR="005B248C" w:rsidRPr="005B248C">
        <w:rPr>
          <w:sz w:val="24"/>
          <w:szCs w:val="24"/>
        </w:rPr>
        <w:t>dei servizi Opzionali descritti nel Capitolato Speciale d</w:t>
      </w:r>
      <w:r w:rsidR="00DB1443">
        <w:rPr>
          <w:sz w:val="24"/>
          <w:szCs w:val="24"/>
        </w:rPr>
        <w:t>’</w:t>
      </w:r>
      <w:r w:rsidR="005B248C" w:rsidRPr="005B248C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5B248C" w:rsidRPr="005B248C">
        <w:rPr>
          <w:sz w:val="24"/>
          <w:szCs w:val="24"/>
        </w:rPr>
        <w:t>Articolo VII.2. Opzione 2 - Servizio Supporto specialistico Sistemista Senior Rete Dati di Ateneo – copertura estesa da remoto</w:t>
      </w:r>
      <w:r w:rsidR="005B248C">
        <w:rPr>
          <w:sz w:val="24"/>
          <w:szCs w:val="24"/>
        </w:rPr>
        <w:t xml:space="preserve">: </w:t>
      </w:r>
    </w:p>
    <w:p w14:paraId="7BAD78B0" w14:textId="77777777" w:rsidR="005B248C" w:rsidRDefault="005B248C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1CECFDD6" w14:textId="0D2170B8" w:rsidR="005B248C" w:rsidRPr="004B29CD" w:rsidRDefault="005B248C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181F37C" w14:textId="67CFE615" w:rsidR="00EF1FEB" w:rsidRPr="00DB1443" w:rsidRDefault="00EF1FEB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 xml:space="preserve">SERVIZI MIGLIORATIVI – OPZIONE 3 (Max </w:t>
      </w:r>
      <w:r w:rsidR="00A14938" w:rsidRPr="00DB1443">
        <w:rPr>
          <w:kern w:val="0"/>
        </w:rPr>
        <w:t>5</w:t>
      </w:r>
      <w:r w:rsidRPr="00DB1443">
        <w:rPr>
          <w:kern w:val="0"/>
        </w:rPr>
        <w:t xml:space="preserve"> punti)</w:t>
      </w:r>
    </w:p>
    <w:p w14:paraId="6166AB52" w14:textId="3F8F32B7" w:rsidR="00EF1FEB" w:rsidRDefault="00105787" w:rsidP="00EF1FEB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>, senza oneri aggiuntivi</w:t>
      </w:r>
      <w:r>
        <w:rPr>
          <w:sz w:val="24"/>
          <w:szCs w:val="24"/>
        </w:rPr>
        <w:t>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="00EF1FEB" w:rsidRPr="00EF1FEB">
        <w:rPr>
          <w:sz w:val="24"/>
          <w:szCs w:val="24"/>
        </w:rPr>
        <w:t xml:space="preserve"> dei servizi Opzionali descritti nel Capitolato Speciale d</w:t>
      </w:r>
      <w:r w:rsidR="00DB1443">
        <w:rPr>
          <w:sz w:val="24"/>
          <w:szCs w:val="24"/>
        </w:rPr>
        <w:t>’</w:t>
      </w:r>
      <w:r w:rsidR="00EF1FEB" w:rsidRPr="00EF1FEB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EF1FEB" w:rsidRPr="00EF1FEB">
        <w:rPr>
          <w:sz w:val="24"/>
          <w:szCs w:val="24"/>
        </w:rPr>
        <w:t xml:space="preserve">Articolo VII.3. Opzione 3 - Servizio Supporto specialistico Specialista Data Center on </w:t>
      </w:r>
      <w:proofErr w:type="spellStart"/>
      <w:r w:rsidR="00EF1FEB" w:rsidRPr="00EF1FEB">
        <w:rPr>
          <w:sz w:val="24"/>
          <w:szCs w:val="24"/>
        </w:rPr>
        <w:t>prem</w:t>
      </w:r>
      <w:proofErr w:type="spellEnd"/>
      <w:r w:rsidR="00EF1FEB" w:rsidRPr="00EF1FEB">
        <w:rPr>
          <w:sz w:val="24"/>
          <w:szCs w:val="24"/>
        </w:rPr>
        <w:t xml:space="preserve"> e cloud – formazione specialistica</w:t>
      </w:r>
      <w:r w:rsidR="00EF1FEB">
        <w:rPr>
          <w:sz w:val="24"/>
          <w:szCs w:val="24"/>
        </w:rPr>
        <w:t xml:space="preserve">: </w:t>
      </w:r>
    </w:p>
    <w:p w14:paraId="0A56A086" w14:textId="44EC34AE" w:rsidR="00EF1FEB" w:rsidRDefault="00EF1FEB" w:rsidP="00992588">
      <w:pPr>
        <w:pStyle w:val="Corpotesto"/>
        <w:numPr>
          <w:ilvl w:val="0"/>
          <w:numId w:val="4"/>
        </w:numPr>
        <w:spacing w:before="70" w:line="312" w:lineRule="auto"/>
        <w:ind w:right="123"/>
        <w:jc w:val="both"/>
        <w:rPr>
          <w:sz w:val="24"/>
          <w:szCs w:val="24"/>
        </w:rPr>
      </w:pPr>
      <w:r w:rsidRPr="1D056896">
        <w:rPr>
          <w:sz w:val="24"/>
          <w:szCs w:val="24"/>
        </w:rPr>
        <w:t xml:space="preserve">Fornitura del Corso Microsoft Power Shell: </w:t>
      </w:r>
      <w:r>
        <w:tab/>
      </w:r>
      <w:r>
        <w:tab/>
      </w:r>
      <w:r>
        <w:tab/>
      </w:r>
      <w:r>
        <w:tab/>
      </w:r>
      <w:sdt>
        <w:sdtPr>
          <w:rPr>
            <w:sz w:val="24"/>
            <w:szCs w:val="24"/>
          </w:rPr>
          <w:id w:val="-63348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SI  </w:t>
      </w:r>
      <w:sdt>
        <w:sdtPr>
          <w:rPr>
            <w:sz w:val="24"/>
            <w:szCs w:val="24"/>
          </w:rPr>
          <w:id w:val="-145724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NO;</w:t>
      </w:r>
    </w:p>
    <w:p w14:paraId="193BD901" w14:textId="3269672E" w:rsidR="00EF1FEB" w:rsidRDefault="00EF1FEB" w:rsidP="00992588">
      <w:pPr>
        <w:pStyle w:val="Corpotesto"/>
        <w:numPr>
          <w:ilvl w:val="0"/>
          <w:numId w:val="4"/>
        </w:numPr>
        <w:spacing w:before="70" w:line="312" w:lineRule="auto"/>
        <w:ind w:right="123"/>
        <w:jc w:val="both"/>
        <w:rPr>
          <w:sz w:val="24"/>
          <w:szCs w:val="24"/>
        </w:rPr>
      </w:pPr>
      <w:r w:rsidRPr="1D056896">
        <w:rPr>
          <w:sz w:val="24"/>
          <w:szCs w:val="24"/>
        </w:rPr>
        <w:t xml:space="preserve">Fornitura del Corso Microsoft Server Security: </w:t>
      </w:r>
      <w:r>
        <w:tab/>
      </w:r>
      <w:r>
        <w:tab/>
      </w:r>
      <w:r>
        <w:tab/>
      </w:r>
      <w:sdt>
        <w:sdtPr>
          <w:rPr>
            <w:sz w:val="24"/>
            <w:szCs w:val="24"/>
          </w:rPr>
          <w:id w:val="38684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SI  </w:t>
      </w:r>
      <w:sdt>
        <w:sdtPr>
          <w:rPr>
            <w:sz w:val="24"/>
            <w:szCs w:val="24"/>
          </w:rPr>
          <w:id w:val="-16636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NO;</w:t>
      </w:r>
    </w:p>
    <w:p w14:paraId="01E23394" w14:textId="03F3838F" w:rsidR="00EF1FEB" w:rsidRDefault="00EF1FEB" w:rsidP="00992588">
      <w:pPr>
        <w:pStyle w:val="Corpotesto"/>
        <w:numPr>
          <w:ilvl w:val="0"/>
          <w:numId w:val="4"/>
        </w:numPr>
        <w:spacing w:before="70" w:line="312" w:lineRule="auto"/>
        <w:ind w:right="123"/>
        <w:jc w:val="both"/>
        <w:rPr>
          <w:sz w:val="24"/>
          <w:szCs w:val="24"/>
        </w:rPr>
      </w:pPr>
      <w:r w:rsidRPr="1D056896">
        <w:rPr>
          <w:sz w:val="24"/>
          <w:szCs w:val="24"/>
        </w:rPr>
        <w:t xml:space="preserve">Fornitura del Corso Microsoft Exchange OnLine: </w:t>
      </w:r>
      <w:r>
        <w:tab/>
      </w:r>
      <w:r>
        <w:tab/>
      </w:r>
      <w:r>
        <w:tab/>
      </w:r>
      <w:sdt>
        <w:sdtPr>
          <w:rPr>
            <w:sz w:val="24"/>
            <w:szCs w:val="24"/>
          </w:rPr>
          <w:id w:val="90164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SI  </w:t>
      </w:r>
      <w:sdt>
        <w:sdtPr>
          <w:rPr>
            <w:sz w:val="24"/>
            <w:szCs w:val="24"/>
          </w:rPr>
          <w:id w:val="-187383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NO;</w:t>
      </w:r>
    </w:p>
    <w:p w14:paraId="21670285" w14:textId="09ECC333" w:rsidR="00EF1FEB" w:rsidRPr="00A14938" w:rsidRDefault="00EF1FEB" w:rsidP="1D056896">
      <w:pPr>
        <w:pStyle w:val="Corpotesto"/>
        <w:numPr>
          <w:ilvl w:val="0"/>
          <w:numId w:val="4"/>
        </w:numPr>
        <w:spacing w:before="70" w:line="312" w:lineRule="auto"/>
        <w:ind w:right="123"/>
        <w:jc w:val="both"/>
        <w:rPr>
          <w:rFonts w:eastAsia="Garamond" w:cs="Garamond"/>
          <w:sz w:val="24"/>
          <w:szCs w:val="24"/>
        </w:rPr>
      </w:pPr>
      <w:r w:rsidRPr="1D056896">
        <w:rPr>
          <w:sz w:val="24"/>
          <w:szCs w:val="24"/>
        </w:rPr>
        <w:t xml:space="preserve">Fornitura del Corso Gestione </w:t>
      </w:r>
      <w:r w:rsidR="1710A996" w:rsidRPr="1D056896">
        <w:rPr>
          <w:rFonts w:eastAsia="Garamond" w:cs="Garamond"/>
          <w:sz w:val="24"/>
          <w:szCs w:val="24"/>
        </w:rPr>
        <w:t>Record SFP, DKIM e DMARC</w:t>
      </w:r>
      <w:r w:rsidRPr="1D056896">
        <w:rPr>
          <w:sz w:val="24"/>
          <w:szCs w:val="24"/>
        </w:rPr>
        <w:t xml:space="preserve">: </w:t>
      </w:r>
      <w:r>
        <w:tab/>
      </w:r>
      <w:sdt>
        <w:sdtPr>
          <w:rPr>
            <w:sz w:val="24"/>
            <w:szCs w:val="24"/>
          </w:rPr>
          <w:id w:val="132084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SI  </w:t>
      </w:r>
      <w:sdt>
        <w:sdtPr>
          <w:rPr>
            <w:sz w:val="24"/>
            <w:szCs w:val="24"/>
          </w:rPr>
          <w:id w:val="36771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5CA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1D056896">
        <w:rPr>
          <w:sz w:val="24"/>
          <w:szCs w:val="24"/>
        </w:rPr>
        <w:t xml:space="preserve"> NO</w:t>
      </w:r>
      <w:r w:rsidR="00A14938" w:rsidRPr="1D056896">
        <w:rPr>
          <w:sz w:val="24"/>
          <w:szCs w:val="24"/>
        </w:rPr>
        <w:t>.</w:t>
      </w:r>
    </w:p>
    <w:p w14:paraId="4471AE7C" w14:textId="77777777" w:rsidR="00EF1FEB" w:rsidRPr="00A14938" w:rsidRDefault="00EF1FEB" w:rsidP="00A14938">
      <w:pPr>
        <w:pStyle w:val="Corpotesto"/>
        <w:spacing w:before="70" w:line="312" w:lineRule="auto"/>
        <w:ind w:right="123"/>
        <w:jc w:val="both"/>
        <w:rPr>
          <w:sz w:val="24"/>
          <w:szCs w:val="24"/>
        </w:rPr>
      </w:pPr>
    </w:p>
    <w:p w14:paraId="74768149" w14:textId="7CDA4560" w:rsidR="004B29CD" w:rsidRPr="00DB1443" w:rsidRDefault="004B29CD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SERVIZI MIGLIORATIVI – OPZIONE 4 (Max 6 punti)</w:t>
      </w:r>
    </w:p>
    <w:p w14:paraId="014AC09D" w14:textId="339B40AF" w:rsidR="004B29CD" w:rsidRDefault="00105787" w:rsidP="004B29CD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 xml:space="preserve">, senza oneri </w:t>
      </w:r>
      <w:r w:rsidRPr="00984811">
        <w:rPr>
          <w:sz w:val="24"/>
          <w:szCs w:val="24"/>
        </w:rPr>
        <w:t>aggiuntivi e per tutta la durata contrattuale, la fornitu</w:t>
      </w:r>
      <w:r w:rsidRPr="005B248C">
        <w:rPr>
          <w:sz w:val="24"/>
          <w:szCs w:val="24"/>
        </w:rPr>
        <w:t>ra</w:t>
      </w:r>
      <w:r w:rsidR="004B29CD" w:rsidRPr="004B29CD">
        <w:rPr>
          <w:sz w:val="24"/>
          <w:szCs w:val="24"/>
        </w:rPr>
        <w:t xml:space="preserve"> dei servizi Opzionali descritti nel Capitolato Speciale d</w:t>
      </w:r>
      <w:r w:rsidR="00DB1443">
        <w:rPr>
          <w:sz w:val="24"/>
          <w:szCs w:val="24"/>
        </w:rPr>
        <w:t>’</w:t>
      </w:r>
      <w:r w:rsidR="004B29CD" w:rsidRPr="004B29CD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4B29CD" w:rsidRPr="004B29CD">
        <w:rPr>
          <w:sz w:val="24"/>
          <w:szCs w:val="24"/>
        </w:rPr>
        <w:t xml:space="preserve">Articolo VII.4. Opzione 4 - Servizio Supporto specialistico Specialista Cyber Security – Servizi PEN Test e </w:t>
      </w:r>
      <w:proofErr w:type="spellStart"/>
      <w:r w:rsidR="004B29CD" w:rsidRPr="004B29CD">
        <w:rPr>
          <w:sz w:val="24"/>
          <w:szCs w:val="24"/>
        </w:rPr>
        <w:t>Vulnerability</w:t>
      </w:r>
      <w:proofErr w:type="spellEnd"/>
      <w:r w:rsidR="004B29CD" w:rsidRPr="004B29CD">
        <w:rPr>
          <w:sz w:val="24"/>
          <w:szCs w:val="24"/>
        </w:rPr>
        <w:t xml:space="preserve"> </w:t>
      </w:r>
      <w:proofErr w:type="spellStart"/>
      <w:r w:rsidR="004B29CD" w:rsidRPr="004B29CD">
        <w:rPr>
          <w:sz w:val="24"/>
          <w:szCs w:val="24"/>
        </w:rPr>
        <w:t>Assesment</w:t>
      </w:r>
      <w:proofErr w:type="spellEnd"/>
      <w:r w:rsidR="004B29CD">
        <w:rPr>
          <w:sz w:val="24"/>
          <w:szCs w:val="24"/>
        </w:rPr>
        <w:t xml:space="preserve">: </w:t>
      </w:r>
    </w:p>
    <w:p w14:paraId="2BCBFA83" w14:textId="77777777" w:rsidR="004B29CD" w:rsidRDefault="004B29CD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4B564543" w14:textId="77777777" w:rsidR="004B29CD" w:rsidRDefault="004B29CD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25EA712" w14:textId="77777777" w:rsidR="004B29CD" w:rsidRPr="00A14938" w:rsidRDefault="004B29CD" w:rsidP="004B29CD">
      <w:pPr>
        <w:pStyle w:val="Corpotesto"/>
        <w:spacing w:before="70" w:line="312" w:lineRule="auto"/>
        <w:ind w:right="123"/>
        <w:jc w:val="both"/>
        <w:rPr>
          <w:sz w:val="24"/>
          <w:szCs w:val="24"/>
        </w:rPr>
      </w:pPr>
    </w:p>
    <w:p w14:paraId="443C3E32" w14:textId="61E361D8" w:rsidR="004B29CD" w:rsidRPr="00DB1443" w:rsidRDefault="004B29CD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 xml:space="preserve">SERVIZI MIGLIORATIVI – OPZIONE </w:t>
      </w:r>
      <w:r w:rsidR="00041037" w:rsidRPr="00DB1443">
        <w:rPr>
          <w:kern w:val="0"/>
        </w:rPr>
        <w:t>5</w:t>
      </w:r>
      <w:r w:rsidRPr="00DB1443">
        <w:rPr>
          <w:kern w:val="0"/>
        </w:rPr>
        <w:t xml:space="preserve"> (Max 6 punti)</w:t>
      </w:r>
    </w:p>
    <w:p w14:paraId="492F5BD9" w14:textId="56926A43" w:rsidR="000D6324" w:rsidRDefault="00105787" w:rsidP="007F07A3">
      <w:pPr>
        <w:widowControl w:val="0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>, senza oneri aggiuntivi</w:t>
      </w:r>
      <w:r>
        <w:rPr>
          <w:sz w:val="24"/>
          <w:szCs w:val="24"/>
        </w:rPr>
        <w:t>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="00041037" w:rsidRPr="00041037">
        <w:rPr>
          <w:sz w:val="24"/>
          <w:szCs w:val="24"/>
        </w:rPr>
        <w:t xml:space="preserve"> 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Articolo VII.5. Opzione 5 - Servizio Supporto specialistico Specialista Cyber Security – Servizio supporto on-demand on-site per incidenti informatici</w:t>
      </w:r>
      <w:r w:rsidR="00041037">
        <w:rPr>
          <w:sz w:val="24"/>
          <w:szCs w:val="24"/>
        </w:rPr>
        <w:t xml:space="preserve">, nella quantità di </w:t>
      </w:r>
      <w:r w:rsidR="00041037" w:rsidRPr="000D039F">
        <w:rPr>
          <w:i/>
          <w:iCs/>
          <w:color w:val="548DD4" w:themeColor="text2" w:themeTint="99"/>
          <w:sz w:val="24"/>
          <w:szCs w:val="24"/>
        </w:rPr>
        <w:t>&lt;numero&gt;</w:t>
      </w:r>
      <w:r w:rsidR="00041037" w:rsidRPr="000D039F">
        <w:rPr>
          <w:color w:val="548DD4" w:themeColor="text2" w:themeTint="99"/>
          <w:sz w:val="24"/>
          <w:szCs w:val="24"/>
        </w:rPr>
        <w:t xml:space="preserve"> </w:t>
      </w:r>
      <w:r w:rsidR="00041037">
        <w:rPr>
          <w:sz w:val="24"/>
          <w:szCs w:val="24"/>
        </w:rPr>
        <w:t>giornate/anno per tutta la validità del contratto.</w:t>
      </w:r>
    </w:p>
    <w:p w14:paraId="59808ECF" w14:textId="33F39183" w:rsidR="00041037" w:rsidRDefault="00041037" w:rsidP="007F07A3">
      <w:pPr>
        <w:widowControl w:val="0"/>
        <w:jc w:val="both"/>
        <w:rPr>
          <w:sz w:val="24"/>
          <w:szCs w:val="24"/>
        </w:rPr>
      </w:pPr>
    </w:p>
    <w:p w14:paraId="25009703" w14:textId="6904A362" w:rsidR="00041037" w:rsidRPr="00DB1443" w:rsidRDefault="00041037" w:rsidP="00DB1443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DB1443">
        <w:rPr>
          <w:kern w:val="0"/>
        </w:rPr>
        <w:t>SERVIZI MIGLIORATIVI – OPZIONE 6 (Max 6 punti)</w:t>
      </w:r>
    </w:p>
    <w:p w14:paraId="22AE162C" w14:textId="510C2012" w:rsidR="00041037" w:rsidRDefault="00984811" w:rsidP="00041037">
      <w:pPr>
        <w:widowControl w:val="0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>, senza oneri aggiuntivi</w:t>
      </w:r>
      <w:r>
        <w:rPr>
          <w:sz w:val="24"/>
          <w:szCs w:val="24"/>
        </w:rPr>
        <w:t>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Pr="00041037">
        <w:rPr>
          <w:sz w:val="24"/>
          <w:szCs w:val="24"/>
        </w:rPr>
        <w:t xml:space="preserve"> </w:t>
      </w:r>
      <w:r w:rsidR="00041037" w:rsidRPr="00041037">
        <w:rPr>
          <w:sz w:val="24"/>
          <w:szCs w:val="24"/>
        </w:rPr>
        <w:t>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 xml:space="preserve">Articolo VII.6. Opzione 6 - Servizio Supporto specialistico Sistemista – Sistemi Videoconferenza e Digital Learning – supporto on demand da </w:t>
      </w:r>
      <w:proofErr w:type="gramStart"/>
      <w:r w:rsidR="00041037" w:rsidRPr="00041037">
        <w:rPr>
          <w:sz w:val="24"/>
          <w:szCs w:val="24"/>
        </w:rPr>
        <w:t>remoto eventi</w:t>
      </w:r>
      <w:proofErr w:type="gramEnd"/>
      <w:r w:rsidR="00041037" w:rsidRPr="00041037">
        <w:rPr>
          <w:sz w:val="24"/>
          <w:szCs w:val="24"/>
        </w:rPr>
        <w:t xml:space="preserve"> fuori orario</w:t>
      </w:r>
      <w:r w:rsidR="00041037">
        <w:rPr>
          <w:sz w:val="24"/>
          <w:szCs w:val="24"/>
        </w:rPr>
        <w:t xml:space="preserve">, nella quantità di </w:t>
      </w:r>
      <w:r w:rsidR="00041037" w:rsidRPr="00F64EC1">
        <w:rPr>
          <w:i/>
          <w:iCs/>
          <w:color w:val="548DD4" w:themeColor="text2" w:themeTint="99"/>
          <w:sz w:val="24"/>
          <w:szCs w:val="24"/>
        </w:rPr>
        <w:t>&lt;numero&gt;</w:t>
      </w:r>
      <w:r w:rsidR="00041037" w:rsidRPr="00F64EC1">
        <w:rPr>
          <w:color w:val="548DD4" w:themeColor="text2" w:themeTint="99"/>
          <w:sz w:val="24"/>
          <w:szCs w:val="24"/>
        </w:rPr>
        <w:t xml:space="preserve"> </w:t>
      </w:r>
      <w:r w:rsidR="00041037">
        <w:rPr>
          <w:sz w:val="24"/>
          <w:szCs w:val="24"/>
        </w:rPr>
        <w:t>giornate/anno per tutta la validità del contratto.</w:t>
      </w:r>
    </w:p>
    <w:p w14:paraId="2222212A" w14:textId="64814C54" w:rsidR="00041037" w:rsidRDefault="00041037" w:rsidP="007F07A3">
      <w:pPr>
        <w:widowControl w:val="0"/>
        <w:jc w:val="both"/>
        <w:rPr>
          <w:sz w:val="24"/>
          <w:szCs w:val="24"/>
        </w:rPr>
      </w:pPr>
    </w:p>
    <w:p w14:paraId="4AC04A13" w14:textId="6490A606" w:rsidR="00041037" w:rsidRPr="00984811" w:rsidRDefault="00041037" w:rsidP="00984811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984811">
        <w:rPr>
          <w:kern w:val="0"/>
        </w:rPr>
        <w:t>SERVIZI MIGLIORATIVI – OPZIONE 7 (Max 5 punti)</w:t>
      </w:r>
    </w:p>
    <w:p w14:paraId="4DE69B1C" w14:textId="0B54B252" w:rsidR="00041037" w:rsidRDefault="00984811" w:rsidP="00041037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 xml:space="preserve">, senza oneri </w:t>
      </w:r>
      <w:r w:rsidRPr="00984811">
        <w:rPr>
          <w:sz w:val="24"/>
          <w:szCs w:val="24"/>
        </w:rPr>
        <w:t>aggiuntivi e per tutta la durata contrattuale,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Pr="00041037">
        <w:rPr>
          <w:sz w:val="24"/>
          <w:szCs w:val="24"/>
        </w:rPr>
        <w:t xml:space="preserve"> </w:t>
      </w:r>
      <w:r w:rsidR="00041037" w:rsidRPr="00041037">
        <w:rPr>
          <w:sz w:val="24"/>
          <w:szCs w:val="24"/>
        </w:rPr>
        <w:t>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Articolo VII.7. Opzione 7 - Servizio Supporto specialistico Sistemista – Sistemi Videoconferenza e Digital Learning – Servizio continuativo feriale</w:t>
      </w:r>
      <w:r w:rsidR="00041037">
        <w:rPr>
          <w:sz w:val="24"/>
          <w:szCs w:val="24"/>
        </w:rPr>
        <w:t xml:space="preserve">: </w:t>
      </w:r>
    </w:p>
    <w:p w14:paraId="22D963B4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08D2C4C3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0211A0CA" w14:textId="152AF64A" w:rsidR="00041037" w:rsidRPr="00984811" w:rsidRDefault="00041037" w:rsidP="00984811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984811">
        <w:rPr>
          <w:kern w:val="0"/>
        </w:rPr>
        <w:t>SERVIZI MIGLIORATIVI – OPZIONE 8 (Max 5 punti)</w:t>
      </w:r>
    </w:p>
    <w:p w14:paraId="795229CA" w14:textId="338655DC" w:rsidR="00041037" w:rsidRDefault="00984811" w:rsidP="00041037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 xml:space="preserve">, senza oneri </w:t>
      </w:r>
      <w:r w:rsidRPr="00984811">
        <w:rPr>
          <w:sz w:val="24"/>
          <w:szCs w:val="24"/>
        </w:rPr>
        <w:t>aggiuntivi e per tutta la durata contrattuale,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Pr="00041037">
        <w:rPr>
          <w:sz w:val="24"/>
          <w:szCs w:val="24"/>
        </w:rPr>
        <w:t xml:space="preserve"> </w:t>
      </w:r>
      <w:r w:rsidR="00041037" w:rsidRPr="00041037">
        <w:rPr>
          <w:sz w:val="24"/>
          <w:szCs w:val="24"/>
        </w:rPr>
        <w:t>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Articolo VII.8. Opzione 8 - Servizio Supporto specialistico Sistemista – Laboratori Informatici ed End Point – Servizio continuativo feriale</w:t>
      </w:r>
      <w:r w:rsidR="00041037">
        <w:rPr>
          <w:sz w:val="24"/>
          <w:szCs w:val="24"/>
        </w:rPr>
        <w:t xml:space="preserve">: </w:t>
      </w:r>
    </w:p>
    <w:p w14:paraId="601A245E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280CBE19" w14:textId="19F1E9DD" w:rsidR="00041037" w:rsidRP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D782141" w14:textId="35FD83A4" w:rsidR="00041037" w:rsidRPr="00984811" w:rsidRDefault="00041037" w:rsidP="00984811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984811">
        <w:rPr>
          <w:kern w:val="0"/>
        </w:rPr>
        <w:t>SERVIZI MIGLIORATIVI – OPZIONE 9 (Max 3 punti)</w:t>
      </w:r>
    </w:p>
    <w:p w14:paraId="34A0BF3D" w14:textId="6C894498" w:rsidR="00041037" w:rsidRDefault="00984811" w:rsidP="00041037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 xml:space="preserve">, senza oneri </w:t>
      </w:r>
      <w:r w:rsidRPr="00984811">
        <w:rPr>
          <w:sz w:val="24"/>
          <w:szCs w:val="24"/>
        </w:rPr>
        <w:t>aggiuntivi e per tutta la durata contrattuale,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="00041037" w:rsidRPr="00041037">
        <w:rPr>
          <w:sz w:val="24"/>
          <w:szCs w:val="24"/>
        </w:rPr>
        <w:t xml:space="preserve"> 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 xml:space="preserve">Articolo VII.9. Opzione 9 - Servizio Conduzione Operativa da remoto DBMS – security </w:t>
      </w:r>
      <w:proofErr w:type="spellStart"/>
      <w:r w:rsidR="00041037" w:rsidRPr="00041037">
        <w:rPr>
          <w:sz w:val="24"/>
          <w:szCs w:val="24"/>
        </w:rPr>
        <w:t>assesment</w:t>
      </w:r>
      <w:proofErr w:type="spellEnd"/>
      <w:r w:rsidR="00041037">
        <w:rPr>
          <w:sz w:val="24"/>
          <w:szCs w:val="24"/>
        </w:rPr>
        <w:t xml:space="preserve">: </w:t>
      </w:r>
    </w:p>
    <w:p w14:paraId="15D54E1F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3322AF43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797CD46" w14:textId="1F008397" w:rsidR="00041037" w:rsidRDefault="00041037" w:rsidP="007F07A3">
      <w:pPr>
        <w:widowControl w:val="0"/>
        <w:jc w:val="both"/>
        <w:rPr>
          <w:sz w:val="24"/>
          <w:szCs w:val="24"/>
        </w:rPr>
      </w:pPr>
    </w:p>
    <w:p w14:paraId="15F586B7" w14:textId="77777777" w:rsidR="00041037" w:rsidRPr="00A14938" w:rsidRDefault="00041037" w:rsidP="00041037">
      <w:pPr>
        <w:pStyle w:val="Corpotesto"/>
        <w:spacing w:before="70" w:line="312" w:lineRule="auto"/>
        <w:ind w:right="123"/>
        <w:jc w:val="both"/>
        <w:rPr>
          <w:sz w:val="24"/>
          <w:szCs w:val="24"/>
        </w:rPr>
      </w:pPr>
    </w:p>
    <w:p w14:paraId="073DD8D3" w14:textId="0B3D0B92" w:rsidR="00041037" w:rsidRPr="00984811" w:rsidRDefault="00041037" w:rsidP="00984811">
      <w:pPr>
        <w:pStyle w:val="Titolo1"/>
        <w:numPr>
          <w:ilvl w:val="0"/>
          <w:numId w:val="2"/>
        </w:numPr>
        <w:tabs>
          <w:tab w:val="left" w:pos="473"/>
          <w:tab w:val="left" w:pos="475"/>
        </w:tabs>
        <w:spacing w:before="4"/>
        <w:ind w:left="284" w:hanging="284"/>
        <w:jc w:val="left"/>
        <w:rPr>
          <w:kern w:val="0"/>
        </w:rPr>
      </w:pPr>
      <w:r w:rsidRPr="00984811">
        <w:rPr>
          <w:kern w:val="0"/>
        </w:rPr>
        <w:lastRenderedPageBreak/>
        <w:t>SERVIZI MIGLIORATIVI – OPZIONE 10 (Max 3 punti)</w:t>
      </w:r>
    </w:p>
    <w:p w14:paraId="6AB3CEEC" w14:textId="193C043C" w:rsidR="00041037" w:rsidRPr="00041037" w:rsidRDefault="00984811" w:rsidP="00041037">
      <w:pPr>
        <w:pStyle w:val="Corpotesto"/>
        <w:spacing w:before="70" w:line="312" w:lineRule="auto"/>
        <w:ind w:left="116" w:right="123"/>
        <w:jc w:val="both"/>
        <w:rPr>
          <w:sz w:val="24"/>
          <w:szCs w:val="24"/>
        </w:rPr>
      </w:pPr>
      <w:r w:rsidRPr="00FB36FB">
        <w:rPr>
          <w:sz w:val="24"/>
          <w:szCs w:val="24"/>
        </w:rPr>
        <w:t>L’Offerente</w:t>
      </w:r>
      <w:r>
        <w:rPr>
          <w:sz w:val="24"/>
          <w:szCs w:val="24"/>
        </w:rPr>
        <w:t xml:space="preserve"> si impegna a fornire</w:t>
      </w:r>
      <w:r w:rsidRPr="00FB36FB">
        <w:rPr>
          <w:sz w:val="24"/>
          <w:szCs w:val="24"/>
        </w:rPr>
        <w:t xml:space="preserve">, senza oneri </w:t>
      </w:r>
      <w:r w:rsidRPr="00984811">
        <w:rPr>
          <w:sz w:val="24"/>
          <w:szCs w:val="24"/>
        </w:rPr>
        <w:t>aggiuntivi e per tutta la durata contrattuale, la</w:t>
      </w:r>
      <w:r w:rsidRPr="005B248C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5B248C">
        <w:rPr>
          <w:sz w:val="24"/>
          <w:szCs w:val="24"/>
        </w:rPr>
        <w:t>ornitura</w:t>
      </w:r>
      <w:r w:rsidRPr="00041037">
        <w:rPr>
          <w:sz w:val="24"/>
          <w:szCs w:val="24"/>
        </w:rPr>
        <w:t xml:space="preserve"> </w:t>
      </w:r>
      <w:r w:rsidR="00041037" w:rsidRPr="00041037">
        <w:rPr>
          <w:sz w:val="24"/>
          <w:szCs w:val="24"/>
        </w:rPr>
        <w:t>dei servizi Opzionali descritti nel Capitolato Speciale d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Appalto all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>Articolo VII.10. Opzione 10 – Dotazione telefoni mobili aziendali per tutto il personale dell</w:t>
      </w:r>
      <w:r w:rsidR="00DB1443">
        <w:rPr>
          <w:sz w:val="24"/>
          <w:szCs w:val="24"/>
        </w:rPr>
        <w:t>’</w:t>
      </w:r>
      <w:r w:rsidR="00041037" w:rsidRPr="00041037">
        <w:rPr>
          <w:sz w:val="24"/>
          <w:szCs w:val="24"/>
        </w:rPr>
        <w:t xml:space="preserve">OEA adibito ai servizi di supporto specialistico: </w:t>
      </w:r>
    </w:p>
    <w:p w14:paraId="0F161D63" w14:textId="7777777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SI</w:t>
      </w:r>
    </w:p>
    <w:p w14:paraId="5E7216C9" w14:textId="3F9796F7" w:rsidR="00041037" w:rsidRDefault="00041037" w:rsidP="00992588">
      <w:pPr>
        <w:pStyle w:val="Corpotesto"/>
        <w:numPr>
          <w:ilvl w:val="0"/>
          <w:numId w:val="3"/>
        </w:numPr>
        <w:spacing w:before="70" w:line="312" w:lineRule="auto"/>
        <w:ind w:right="123"/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5876563" w14:textId="49B04C8C" w:rsidR="00984811" w:rsidRPr="00984811" w:rsidRDefault="00984811" w:rsidP="00984811">
      <w:pPr>
        <w:pStyle w:val="Corpotesto"/>
        <w:spacing w:before="70" w:line="312" w:lineRule="auto"/>
        <w:ind w:left="476" w:right="123"/>
        <w:jc w:val="center"/>
        <w:rPr>
          <w:b/>
          <w:sz w:val="24"/>
          <w:szCs w:val="24"/>
        </w:rPr>
      </w:pPr>
      <w:r w:rsidRPr="00984811">
        <w:rPr>
          <w:b/>
          <w:sz w:val="24"/>
          <w:szCs w:val="24"/>
        </w:rPr>
        <w:t>DICHIARA</w:t>
      </w:r>
    </w:p>
    <w:p w14:paraId="58305D01" w14:textId="67040ADE" w:rsidR="00DB1443" w:rsidRPr="00F64EC1" w:rsidRDefault="00984811" w:rsidP="00DB14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>
        <w:rPr>
          <w:rStyle w:val="normaltextrun"/>
          <w:rFonts w:ascii="Garamond" w:hAnsi="Garamond" w:cs="Segoe UI"/>
        </w:rPr>
        <w:t>di</w:t>
      </w:r>
      <w:r w:rsidR="00DB1443" w:rsidRPr="00F64EC1">
        <w:rPr>
          <w:rStyle w:val="normaltextrun"/>
          <w:rFonts w:ascii="Garamond" w:hAnsi="Garamond" w:cs="Segoe UI"/>
        </w:rPr>
        <w:t xml:space="preserve"> impegna</w:t>
      </w:r>
      <w:r>
        <w:rPr>
          <w:rStyle w:val="normaltextrun"/>
          <w:rFonts w:ascii="Garamond" w:hAnsi="Garamond" w:cs="Segoe UI"/>
        </w:rPr>
        <w:t>rsi</w:t>
      </w:r>
      <w:r w:rsidR="00DB1443" w:rsidRPr="00F64EC1">
        <w:rPr>
          <w:rStyle w:val="normaltextrun"/>
          <w:rFonts w:ascii="Garamond" w:hAnsi="Garamond" w:cs="Segoe UI"/>
        </w:rPr>
        <w:t xml:space="preserve"> ad eseguire le attività relative alla prestazione di servizi di System Management nel rispetto di tutti gli obblighi e gli adempimenti richiesti nel corpo del Capitolato Speciale d</w:t>
      </w:r>
      <w:r w:rsidR="00DB1443">
        <w:rPr>
          <w:rStyle w:val="normaltextrun"/>
          <w:rFonts w:ascii="Garamond" w:hAnsi="Garamond" w:cs="Segoe UI"/>
        </w:rPr>
        <w:t>’</w:t>
      </w:r>
      <w:r w:rsidR="00DB1443" w:rsidRPr="00F64EC1">
        <w:rPr>
          <w:rStyle w:val="normaltextrun"/>
          <w:rFonts w:ascii="Garamond" w:hAnsi="Garamond" w:cs="Segoe UI"/>
        </w:rPr>
        <w:t>Appalto e delle altre parti della documentazione di gara;</w:t>
      </w:r>
      <w:r w:rsidR="00DB1443" w:rsidRPr="00F64EC1">
        <w:rPr>
          <w:rStyle w:val="eop"/>
          <w:rFonts w:ascii="Garamond" w:hAnsi="Garamond" w:cs="Segoe UI"/>
        </w:rPr>
        <w:t> </w:t>
      </w:r>
    </w:p>
    <w:p w14:paraId="526CD604" w14:textId="5B09343F" w:rsidR="00DB1443" w:rsidRPr="00F64EC1" w:rsidRDefault="00DB1443" w:rsidP="00DB14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Garamond" w:hAnsi="Garamond" w:cs="Segoe UI"/>
        </w:rPr>
      </w:pPr>
      <w:r w:rsidRPr="00F64EC1">
        <w:rPr>
          <w:rStyle w:val="normaltextrun"/>
          <w:rFonts w:ascii="Garamond" w:hAnsi="Garamond" w:cs="Segoe UI"/>
        </w:rPr>
        <w:t>che tutti i servizi offerti posseggono integralmente le caratteristiche, funzionalità ed i requisiti “minimi” stabiliti nel Capitolato Speciale d</w:t>
      </w:r>
      <w:r>
        <w:rPr>
          <w:rStyle w:val="normaltextrun"/>
          <w:rFonts w:ascii="Garamond" w:hAnsi="Garamond" w:cs="Segoe UI"/>
        </w:rPr>
        <w:t>’</w:t>
      </w:r>
      <w:r w:rsidRPr="00F64EC1">
        <w:rPr>
          <w:rStyle w:val="normaltextrun"/>
          <w:rFonts w:ascii="Garamond" w:hAnsi="Garamond" w:cs="Segoe UI"/>
        </w:rPr>
        <w:t>Appalto e prende atto ed accetta che tali caratteristiche, funzionalità e requisiti “minimi” sono richiesti a pena di esclusione.</w:t>
      </w:r>
      <w:r w:rsidRPr="00F64EC1">
        <w:rPr>
          <w:rStyle w:val="eop"/>
          <w:rFonts w:ascii="Garamond" w:hAnsi="Garamond" w:cs="Segoe UI"/>
        </w:rPr>
        <w:t> </w:t>
      </w:r>
    </w:p>
    <w:p w14:paraId="345B2B73" w14:textId="2AF89E02" w:rsidR="00DB1443" w:rsidRPr="00F64EC1" w:rsidRDefault="00DB1443" w:rsidP="00DB144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Garamond" w:hAnsi="Garamond" w:cs="Segoe UI"/>
        </w:rPr>
      </w:pPr>
      <w:r w:rsidRPr="00F64EC1">
        <w:rPr>
          <w:rFonts w:ascii="Garamond" w:hAnsi="Garamond"/>
        </w:rPr>
        <w:t>ai sensi dell</w:t>
      </w:r>
      <w:r>
        <w:rPr>
          <w:rFonts w:ascii="Garamond" w:hAnsi="Garamond"/>
        </w:rPr>
        <w:t>’</w:t>
      </w:r>
      <w:r w:rsidRPr="00F64EC1">
        <w:rPr>
          <w:rFonts w:ascii="Garamond" w:hAnsi="Garamond"/>
        </w:rPr>
        <w:t>art. 53, comma 5, lett. a), del Codice:</w:t>
      </w:r>
    </w:p>
    <w:p w14:paraId="289EA602" w14:textId="77777777" w:rsidR="00DB1443" w:rsidRPr="00444C17" w:rsidRDefault="00902D44" w:rsidP="00984811">
      <w:pPr>
        <w:ind w:left="1560" w:hanging="709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3284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43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1443" w:rsidRPr="00444C17">
        <w:rPr>
          <w:sz w:val="24"/>
          <w:szCs w:val="24"/>
        </w:rPr>
        <w:tab/>
        <w:t>di</w:t>
      </w:r>
      <w:r w:rsidR="00DB1443" w:rsidRPr="00444C17">
        <w:rPr>
          <w:color w:val="007161"/>
          <w:sz w:val="24"/>
          <w:szCs w:val="24"/>
        </w:rPr>
        <w:t xml:space="preserve"> </w:t>
      </w:r>
      <w:r w:rsidR="00DB1443" w:rsidRPr="00444C17">
        <w:rPr>
          <w:sz w:val="24"/>
          <w:szCs w:val="24"/>
        </w:rPr>
        <w:t>autorizzare qualora un partecipante alla gara eserciti la facoltà di “accesso agli atti”, la stazione appaltante a rilasciare copia di tutta la documentazione presentata per la partecipazione alla gara;</w:t>
      </w:r>
      <w:r w:rsidR="00DB1443" w:rsidRPr="00444C17">
        <w:rPr>
          <w:color w:val="007161"/>
          <w:sz w:val="24"/>
          <w:szCs w:val="24"/>
        </w:rPr>
        <w:t xml:space="preserve"> </w:t>
      </w:r>
    </w:p>
    <w:p w14:paraId="69535C49" w14:textId="77777777" w:rsidR="00DB1443" w:rsidRPr="00444C17" w:rsidRDefault="00DB1443" w:rsidP="00DB1443">
      <w:pPr>
        <w:ind w:left="709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3E085A40" w14:textId="22444B1A" w:rsidR="00DB1443" w:rsidRPr="00444C17" w:rsidRDefault="00902D44" w:rsidP="00984811">
      <w:pPr>
        <w:ind w:left="1560" w:hanging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238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443" w:rsidRPr="0098481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DB1443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</w:t>
      </w:r>
      <w:r w:rsidR="00DB1443">
        <w:rPr>
          <w:sz w:val="24"/>
          <w:szCs w:val="24"/>
        </w:rPr>
        <w:t>’</w:t>
      </w:r>
      <w:r w:rsidR="00DB1443" w:rsidRPr="00444C17">
        <w:rPr>
          <w:sz w:val="24"/>
          <w:szCs w:val="24"/>
        </w:rPr>
        <w:t>offerta e delle giustificazioni che saranno eventualmente richieste in sede di verifica delle offerte anomale, in quanto coperte da segreto tecnico/commerciale per le seguenti motivazioni</w:t>
      </w:r>
      <w:r w:rsidR="00DB1443">
        <w:rPr>
          <w:sz w:val="24"/>
          <w:szCs w:val="24"/>
        </w:rPr>
        <w:t xml:space="preserve"> (</w:t>
      </w:r>
      <w:r w:rsidR="00DB1443" w:rsidRPr="000A37E9">
        <w:rPr>
          <w:sz w:val="24"/>
          <w:szCs w:val="24"/>
        </w:rPr>
        <w:t>indicare quali parti e motivazioni</w:t>
      </w:r>
      <w:r w:rsidR="00DB1443">
        <w:rPr>
          <w:sz w:val="24"/>
          <w:szCs w:val="24"/>
        </w:rPr>
        <w:t>)</w:t>
      </w:r>
      <w:r w:rsidR="00DB1443" w:rsidRPr="00444C17">
        <w:rPr>
          <w:sz w:val="24"/>
          <w:szCs w:val="24"/>
        </w:rPr>
        <w:t>:</w:t>
      </w:r>
    </w:p>
    <w:p w14:paraId="617B1B25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4ACD48BC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406C3C86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135AAD8F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18C1085D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406AA137" w14:textId="77777777" w:rsidR="00DB1443" w:rsidRPr="00A7674A" w:rsidRDefault="00DB1443" w:rsidP="009848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560"/>
        <w:rPr>
          <w:sz w:val="24"/>
        </w:rPr>
      </w:pPr>
    </w:p>
    <w:p w14:paraId="71C505DA" w14:textId="77777777" w:rsidR="00041037" w:rsidRDefault="00041037" w:rsidP="007F07A3">
      <w:pPr>
        <w:widowControl w:val="0"/>
        <w:jc w:val="both"/>
        <w:rPr>
          <w:sz w:val="24"/>
          <w:szCs w:val="24"/>
        </w:rPr>
      </w:pPr>
    </w:p>
    <w:p w14:paraId="75035388" w14:textId="77777777" w:rsidR="005B2E7F" w:rsidRDefault="005B2E7F" w:rsidP="005B2E7F">
      <w:pPr>
        <w:ind w:left="709"/>
        <w:rPr>
          <w:rFonts w:cs="Calibri"/>
          <w:b/>
        </w:rPr>
      </w:pPr>
    </w:p>
    <w:p w14:paraId="1BA87CFF" w14:textId="77777777" w:rsidR="005B2E7F" w:rsidRPr="00AE4C5D" w:rsidRDefault="005B2E7F" w:rsidP="005B2E7F">
      <w:pPr>
        <w:widowControl w:val="0"/>
        <w:autoSpaceDE w:val="0"/>
        <w:autoSpaceDN w:val="0"/>
        <w:adjustRightInd w:val="0"/>
        <w:spacing w:before="120"/>
        <w:ind w:left="5103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9D00E64" w14:textId="77777777" w:rsidR="00AD1F0E" w:rsidRPr="00AD1F0E" w:rsidRDefault="00AD1F0E" w:rsidP="00AD1F0E">
      <w:pPr>
        <w:spacing w:before="120" w:after="60"/>
        <w:rPr>
          <w:b/>
          <w:kern w:val="2"/>
          <w:sz w:val="24"/>
          <w:szCs w:val="24"/>
          <w:lang w:bidi="hi-IN"/>
        </w:rPr>
      </w:pPr>
    </w:p>
    <w:p w14:paraId="2DC4DE4F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74913737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020033DE" w14:textId="77777777" w:rsidR="00402D4C" w:rsidRP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sectPr w:rsidR="00402D4C" w:rsidRPr="00402D4C" w:rsidSect="009848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6D38" w14:textId="77777777" w:rsidR="009F31EF" w:rsidRDefault="009F31EF" w:rsidP="00A00082">
      <w:r>
        <w:separator/>
      </w:r>
    </w:p>
  </w:endnote>
  <w:endnote w:type="continuationSeparator" w:id="0">
    <w:p w14:paraId="5FCF9652" w14:textId="77777777" w:rsidR="009F31EF" w:rsidRDefault="009F31EF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010A7" w14:textId="77777777" w:rsidR="009F31EF" w:rsidRDefault="009F31EF" w:rsidP="00A00082">
      <w:r>
        <w:separator/>
      </w:r>
    </w:p>
  </w:footnote>
  <w:footnote w:type="continuationSeparator" w:id="0">
    <w:p w14:paraId="6F23F353" w14:textId="77777777" w:rsidR="009F31EF" w:rsidRDefault="009F31EF" w:rsidP="00A00082">
      <w:r>
        <w:continuationSeparator/>
      </w:r>
    </w:p>
  </w:footnote>
  <w:footnote w:id="1">
    <w:p w14:paraId="613F78BA" w14:textId="7169E5D4" w:rsidR="00DB1443" w:rsidRPr="00A611D0" w:rsidRDefault="00DB1443" w:rsidP="00DB1443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Pr="001311CB">
        <w:t>I</w:t>
      </w:r>
      <w:r>
        <w:t>ndicare tutti i sottoscrittori di ciascuno dei concorrenti (</w:t>
      </w:r>
      <w:r w:rsidRPr="00C940CD">
        <w:t xml:space="preserve">nel caso di raggruppamento temporaneo o consorzio ordinario costituito, </w:t>
      </w:r>
      <w:r>
        <w:t xml:space="preserve">della mandataria/capofila; </w:t>
      </w:r>
      <w:r w:rsidRPr="00C940CD">
        <w:t>nel caso di raggruppamento temporaneo o consorzio ordinario non ancora costituiti, di ciascuno dei soggetti che costituiranno il raggruppamento o consorzio;</w:t>
      </w:r>
      <w:r>
        <w:t xml:space="preserve"> </w:t>
      </w:r>
      <w:r w:rsidRPr="00C940CD">
        <w:t>nel caso di aggregazioni di rete</w:t>
      </w:r>
      <w:r>
        <w:t xml:space="preserve"> - soggetto,</w:t>
      </w:r>
      <w:r w:rsidRPr="00C940CD">
        <w:t xml:space="preserve"> dell’organo comune;</w:t>
      </w:r>
      <w:r>
        <w:t xml:space="preserve"> </w:t>
      </w:r>
      <w:r w:rsidRPr="00C940CD">
        <w:t>nel caso di aggregazioni di rete - contratto, dell’organo comune di ciascuno degli operatori economici dell’aggregazione di rete;</w:t>
      </w:r>
      <w:r>
        <w:t xml:space="preserve"> nel caso di</w:t>
      </w:r>
      <w:r w:rsidRPr="00C940CD">
        <w:t xml:space="preserve"> rete dotata di un organo comune privo del potere di rappresentanza o sprovvista di</w:t>
      </w:r>
      <w:r>
        <w:t xml:space="preserve"> </w:t>
      </w:r>
      <w:r w:rsidRPr="00C940CD">
        <w:t>organo comune, oppure se l’organo comune è privo dei requisiti di qualificazione richiesti per</w:t>
      </w:r>
      <w:r>
        <w:t xml:space="preserve"> </w:t>
      </w:r>
      <w:r w:rsidRPr="00C940CD">
        <w:t>assumere la veste di mandataria, dell’operatore economico retista che</w:t>
      </w:r>
      <w:r>
        <w:t xml:space="preserve"> </w:t>
      </w:r>
      <w:r w:rsidRPr="00C940CD">
        <w:t>riveste la qualifica di mandataria, ovvero, in caso di partecipazione nelle forme del</w:t>
      </w:r>
      <w:r>
        <w:t xml:space="preserve"> </w:t>
      </w:r>
      <w:r w:rsidRPr="00C940CD">
        <w:t>raggruppamento da costituirsi, di ciascuno degli operatori economici</w:t>
      </w:r>
      <w:r>
        <w:t xml:space="preserve"> </w:t>
      </w:r>
      <w:r w:rsidRPr="00C940CD">
        <w:t>dell’aggregazione di rete.</w:t>
      </w:r>
    </w:p>
  </w:footnote>
  <w:footnote w:id="2">
    <w:p w14:paraId="5B0763FD" w14:textId="6C720BE1" w:rsidR="00DB1443" w:rsidRDefault="00DB1443" w:rsidP="00DB144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902D44" w:rsidRPr="00631132">
        <w:rPr>
          <w:rFonts w:cs="Calibri"/>
          <w:szCs w:val="24"/>
        </w:rPr>
        <w:t xml:space="preserve">Per consentire una valutazione efficace e comparabile delle offerte, la Relazione Tecnica dovrà essere contenuta in </w:t>
      </w:r>
      <w:r w:rsidR="00902D44" w:rsidRPr="00E225E2">
        <w:rPr>
          <w:rFonts w:cs="Calibri"/>
          <w:szCs w:val="24"/>
        </w:rPr>
        <w:t xml:space="preserve">massimo 40 pagine formato A4, margine 2 cm sui quattro lati, carattere Garamond 12 </w:t>
      </w:r>
      <w:proofErr w:type="spellStart"/>
      <w:r w:rsidR="00902D44" w:rsidRPr="00E225E2">
        <w:rPr>
          <w:rFonts w:cs="Calibri"/>
          <w:szCs w:val="24"/>
        </w:rPr>
        <w:t>pt</w:t>
      </w:r>
      <w:proofErr w:type="spellEnd"/>
      <w:r w:rsidR="00902D44" w:rsidRPr="00E225E2">
        <w:rPr>
          <w:rFonts w:cs="Calibri"/>
          <w:szCs w:val="24"/>
        </w:rPr>
        <w:t>., interlinea 1,5</w:t>
      </w:r>
      <w:r w:rsidRPr="00631132">
        <w:rPr>
          <w:rFonts w:cs="Calibri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213F2FEE" w14:textId="6C76E75D" w:rsidR="00BC4F34" w:rsidRPr="00C12F72" w:rsidRDefault="00816288" w:rsidP="00816288">
          <w:pPr>
            <w:autoSpaceDE w:val="0"/>
            <w:autoSpaceDN w:val="0"/>
            <w:adjustRightInd w:val="0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816288">
            <w:rPr>
              <w:rFonts w:cs="Calibri,Bold"/>
              <w:b/>
              <w:bCs/>
              <w:sz w:val="24"/>
              <w:szCs w:val="24"/>
            </w:rPr>
            <w:t xml:space="preserve">Procedura aperta per l’affidamento dei servizi di system management per l’Università degli Studi dell’Insubria per il periodo 1° luglio 2022 – 30 giugno 2026 con opzione di rinnovo per ulteriori due anni. CIG </w:t>
          </w:r>
          <w:r w:rsidR="00BF5BFA" w:rsidRPr="00BF5BFA">
            <w:rPr>
              <w:rFonts w:cs="Calibri,Bold"/>
              <w:b/>
              <w:bCs/>
              <w:sz w:val="24"/>
              <w:szCs w:val="24"/>
            </w:rPr>
            <w:t>9034264E7C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659C"/>
    <w:multiLevelType w:val="hybridMultilevel"/>
    <w:tmpl w:val="D4C41458"/>
    <w:lvl w:ilvl="0" w:tplc="61D8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A317B"/>
    <w:multiLevelType w:val="hybridMultilevel"/>
    <w:tmpl w:val="AA8A024A"/>
    <w:lvl w:ilvl="0" w:tplc="4ED0F86C">
      <w:start w:val="1"/>
      <w:numFmt w:val="decimal"/>
      <w:lvlText w:val="%1."/>
      <w:lvlJc w:val="left"/>
      <w:pPr>
        <w:ind w:left="1081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8D1027"/>
    <w:multiLevelType w:val="hybridMultilevel"/>
    <w:tmpl w:val="AE86B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677E"/>
    <w:multiLevelType w:val="hybridMultilevel"/>
    <w:tmpl w:val="31A62DB0"/>
    <w:lvl w:ilvl="0" w:tplc="6554CCB4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6AF3"/>
    <w:multiLevelType w:val="hybridMultilevel"/>
    <w:tmpl w:val="8D767226"/>
    <w:lvl w:ilvl="0" w:tplc="DB108930">
      <w:numFmt w:val="bullet"/>
      <w:lvlText w:val="-"/>
      <w:lvlJc w:val="left"/>
      <w:pPr>
        <w:ind w:left="712" w:hanging="57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634727C"/>
    <w:multiLevelType w:val="hybridMultilevel"/>
    <w:tmpl w:val="9A16C778"/>
    <w:lvl w:ilvl="0" w:tplc="1F2097BC">
      <w:start w:val="1"/>
      <w:numFmt w:val="bullet"/>
      <w:lvlText w:val="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550"/>
    <w:rsid w:val="0003473A"/>
    <w:rsid w:val="00036533"/>
    <w:rsid w:val="00041037"/>
    <w:rsid w:val="00041B68"/>
    <w:rsid w:val="0004609D"/>
    <w:rsid w:val="000463E8"/>
    <w:rsid w:val="00050FFB"/>
    <w:rsid w:val="00051DC5"/>
    <w:rsid w:val="00054A91"/>
    <w:rsid w:val="00055A73"/>
    <w:rsid w:val="00063E2C"/>
    <w:rsid w:val="00067BDD"/>
    <w:rsid w:val="00071942"/>
    <w:rsid w:val="00075679"/>
    <w:rsid w:val="00081B3D"/>
    <w:rsid w:val="00094288"/>
    <w:rsid w:val="0009557C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039F"/>
    <w:rsid w:val="000D19C6"/>
    <w:rsid w:val="000D6324"/>
    <w:rsid w:val="000E1398"/>
    <w:rsid w:val="000E79E6"/>
    <w:rsid w:val="000F3FFB"/>
    <w:rsid w:val="000F6387"/>
    <w:rsid w:val="000F658F"/>
    <w:rsid w:val="001003F2"/>
    <w:rsid w:val="00104E85"/>
    <w:rsid w:val="00105464"/>
    <w:rsid w:val="00105787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57E69"/>
    <w:rsid w:val="00167100"/>
    <w:rsid w:val="00174176"/>
    <w:rsid w:val="001751C7"/>
    <w:rsid w:val="00176D61"/>
    <w:rsid w:val="00180670"/>
    <w:rsid w:val="00184453"/>
    <w:rsid w:val="001844EA"/>
    <w:rsid w:val="001873A0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3148"/>
    <w:rsid w:val="003240D1"/>
    <w:rsid w:val="00324648"/>
    <w:rsid w:val="00324ECB"/>
    <w:rsid w:val="00327106"/>
    <w:rsid w:val="00335363"/>
    <w:rsid w:val="003447CF"/>
    <w:rsid w:val="00352D70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4771"/>
    <w:rsid w:val="00414DDB"/>
    <w:rsid w:val="00422C19"/>
    <w:rsid w:val="00423F01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3CDE"/>
    <w:rsid w:val="004848CF"/>
    <w:rsid w:val="00484B2C"/>
    <w:rsid w:val="00484FD3"/>
    <w:rsid w:val="004928FA"/>
    <w:rsid w:val="004A5452"/>
    <w:rsid w:val="004B09F9"/>
    <w:rsid w:val="004B29CD"/>
    <w:rsid w:val="004B7FBA"/>
    <w:rsid w:val="004C257C"/>
    <w:rsid w:val="004D0D3C"/>
    <w:rsid w:val="004D3686"/>
    <w:rsid w:val="004D4981"/>
    <w:rsid w:val="004F373B"/>
    <w:rsid w:val="004F6F7C"/>
    <w:rsid w:val="00506359"/>
    <w:rsid w:val="00513FC9"/>
    <w:rsid w:val="00516C49"/>
    <w:rsid w:val="00516D57"/>
    <w:rsid w:val="005223CF"/>
    <w:rsid w:val="005348ED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96807"/>
    <w:rsid w:val="005A4C65"/>
    <w:rsid w:val="005B1655"/>
    <w:rsid w:val="005B248C"/>
    <w:rsid w:val="005B2E7F"/>
    <w:rsid w:val="005C1886"/>
    <w:rsid w:val="005C454A"/>
    <w:rsid w:val="005C519B"/>
    <w:rsid w:val="005D03F5"/>
    <w:rsid w:val="005D0807"/>
    <w:rsid w:val="005D0E3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3926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07A3"/>
    <w:rsid w:val="007F4F09"/>
    <w:rsid w:val="00803468"/>
    <w:rsid w:val="008050D9"/>
    <w:rsid w:val="00805C95"/>
    <w:rsid w:val="00806179"/>
    <w:rsid w:val="00811D77"/>
    <w:rsid w:val="00815257"/>
    <w:rsid w:val="00816288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5A9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F21D9"/>
    <w:rsid w:val="008F29ED"/>
    <w:rsid w:val="0090072D"/>
    <w:rsid w:val="00902D44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4811"/>
    <w:rsid w:val="00985B1A"/>
    <w:rsid w:val="00992588"/>
    <w:rsid w:val="00995585"/>
    <w:rsid w:val="009958C0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31EF"/>
    <w:rsid w:val="009F491F"/>
    <w:rsid w:val="00A00082"/>
    <w:rsid w:val="00A02832"/>
    <w:rsid w:val="00A10211"/>
    <w:rsid w:val="00A14938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6776B"/>
    <w:rsid w:val="00A714BF"/>
    <w:rsid w:val="00A7674A"/>
    <w:rsid w:val="00A87307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04468"/>
    <w:rsid w:val="00B11551"/>
    <w:rsid w:val="00B11A6F"/>
    <w:rsid w:val="00B120DE"/>
    <w:rsid w:val="00B163F9"/>
    <w:rsid w:val="00B16936"/>
    <w:rsid w:val="00B16E15"/>
    <w:rsid w:val="00B20E51"/>
    <w:rsid w:val="00B27BB9"/>
    <w:rsid w:val="00B40F07"/>
    <w:rsid w:val="00B61811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5447"/>
    <w:rsid w:val="00BF5BFA"/>
    <w:rsid w:val="00BF77B5"/>
    <w:rsid w:val="00C0449F"/>
    <w:rsid w:val="00C10F79"/>
    <w:rsid w:val="00C12F72"/>
    <w:rsid w:val="00C155AA"/>
    <w:rsid w:val="00C15DB0"/>
    <w:rsid w:val="00C20738"/>
    <w:rsid w:val="00C21DE2"/>
    <w:rsid w:val="00C230E8"/>
    <w:rsid w:val="00C23E01"/>
    <w:rsid w:val="00C24E79"/>
    <w:rsid w:val="00C30AA6"/>
    <w:rsid w:val="00C31127"/>
    <w:rsid w:val="00C322AD"/>
    <w:rsid w:val="00C362C5"/>
    <w:rsid w:val="00C40D50"/>
    <w:rsid w:val="00C4398A"/>
    <w:rsid w:val="00C453D3"/>
    <w:rsid w:val="00C46624"/>
    <w:rsid w:val="00C50531"/>
    <w:rsid w:val="00C52E46"/>
    <w:rsid w:val="00C548AD"/>
    <w:rsid w:val="00C54D34"/>
    <w:rsid w:val="00C602F5"/>
    <w:rsid w:val="00C60CC6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B546D"/>
    <w:rsid w:val="00CC0859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844E1"/>
    <w:rsid w:val="00D93180"/>
    <w:rsid w:val="00D95F5D"/>
    <w:rsid w:val="00DA59A4"/>
    <w:rsid w:val="00DA6894"/>
    <w:rsid w:val="00DB1443"/>
    <w:rsid w:val="00DB7BA7"/>
    <w:rsid w:val="00DC4EEC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5112"/>
    <w:rsid w:val="00EB757F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1FEB"/>
    <w:rsid w:val="00EF2CC0"/>
    <w:rsid w:val="00EF3A57"/>
    <w:rsid w:val="00EF496D"/>
    <w:rsid w:val="00EF5B33"/>
    <w:rsid w:val="00F00E50"/>
    <w:rsid w:val="00F019CB"/>
    <w:rsid w:val="00F055F3"/>
    <w:rsid w:val="00F10EB7"/>
    <w:rsid w:val="00F125CA"/>
    <w:rsid w:val="00F13D5C"/>
    <w:rsid w:val="00F21FF2"/>
    <w:rsid w:val="00F250B8"/>
    <w:rsid w:val="00F25690"/>
    <w:rsid w:val="00F329B5"/>
    <w:rsid w:val="00F42403"/>
    <w:rsid w:val="00F43E92"/>
    <w:rsid w:val="00F54B4C"/>
    <w:rsid w:val="00F64911"/>
    <w:rsid w:val="00F64EC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  <w:rsid w:val="0377CD1E"/>
    <w:rsid w:val="1710A996"/>
    <w:rsid w:val="1D056896"/>
    <w:rsid w:val="6F3BF772"/>
    <w:rsid w:val="6F528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08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1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  <w:style w:type="paragraph" w:customStyle="1" w:styleId="paragraph">
    <w:name w:val="paragraph"/>
    <w:basedOn w:val="Normale"/>
    <w:rsid w:val="000463E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463E8"/>
  </w:style>
  <w:style w:type="character" w:customStyle="1" w:styleId="eop">
    <w:name w:val="eop"/>
    <w:basedOn w:val="Carpredefinitoparagrafo"/>
    <w:rsid w:val="000463E8"/>
  </w:style>
  <w:style w:type="paragraph" w:styleId="Corpotesto">
    <w:name w:val="Body Text"/>
    <w:basedOn w:val="Normale"/>
    <w:link w:val="CorpotestoCarattere"/>
    <w:uiPriority w:val="99"/>
    <w:unhideWhenUsed/>
    <w:rsid w:val="000D63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6324"/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4D0ED732704C38BCB63F1F498F3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CA0F1D-2BEC-488C-8FE5-29AEE6375111}"/>
      </w:docPartPr>
      <w:docPartBody>
        <w:p w:rsidR="00F00FF3" w:rsidRDefault="00565058" w:rsidP="00565058">
          <w:pPr>
            <w:pStyle w:val="EC4D0ED732704C38BCB63F1F498F3C91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4ACE22FB5EFF493C9058A030D202A2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A281F-A78F-4F98-8491-F4B07E43284D}"/>
      </w:docPartPr>
      <w:docPartBody>
        <w:p w:rsidR="00F00FF3" w:rsidRDefault="00565058" w:rsidP="00565058">
          <w:pPr>
            <w:pStyle w:val="4ACE22FB5EFF493C9058A030D202A20D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F213DCCB5AB4EE19E1B5698AF2791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066000-28C4-4B4E-83FE-3F6ED71B8F1F}"/>
      </w:docPartPr>
      <w:docPartBody>
        <w:p w:rsidR="00F00FF3" w:rsidRDefault="00565058" w:rsidP="00565058">
          <w:pPr>
            <w:pStyle w:val="3F213DCCB5AB4EE19E1B5698AF27913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58"/>
    <w:rsid w:val="00565058"/>
    <w:rsid w:val="00F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4D0ED732704C38BCB63F1F498F3C91">
    <w:name w:val="EC4D0ED732704C38BCB63F1F498F3C91"/>
    <w:rsid w:val="00565058"/>
  </w:style>
  <w:style w:type="paragraph" w:customStyle="1" w:styleId="4ACE22FB5EFF493C9058A030D202A20D">
    <w:name w:val="4ACE22FB5EFF493C9058A030D202A20D"/>
    <w:rsid w:val="00565058"/>
  </w:style>
  <w:style w:type="paragraph" w:customStyle="1" w:styleId="3F213DCCB5AB4EE19E1B5698AF279131">
    <w:name w:val="3F213DCCB5AB4EE19E1B5698AF279131"/>
    <w:rsid w:val="00565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12A45BA4C8D4B902C3ADB38DD9EBF" ma:contentTypeVersion="8" ma:contentTypeDescription="Create a new document." ma:contentTypeScope="" ma:versionID="4d9552878d5c71356095320bdf10101e">
  <xsd:schema xmlns:xsd="http://www.w3.org/2001/XMLSchema" xmlns:xs="http://www.w3.org/2001/XMLSchema" xmlns:p="http://schemas.microsoft.com/office/2006/metadata/properties" xmlns:ns2="0a5d8554-ed7d-4191-8220-79056e59877a" xmlns:ns3="544ae735-e123-465d-9d88-83bcc8be1840" targetNamespace="http://schemas.microsoft.com/office/2006/metadata/properties" ma:root="true" ma:fieldsID="fe3c00443df23cc2d42c31088e6440cc" ns2:_="" ns3:_="">
    <xsd:import namespace="0a5d8554-ed7d-4191-8220-79056e59877a"/>
    <xsd:import namespace="544ae735-e123-465d-9d88-83bcc8be1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d8554-ed7d-4191-8220-79056e598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ae735-e123-465d-9d88-83bcc8be1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697A-D8F7-4C2A-BBDD-89A94C537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d8554-ed7d-4191-8220-79056e59877a"/>
    <ds:schemaRef ds:uri="544ae735-e123-465d-9d88-83bcc8be1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407CD-80AB-45F0-916E-C7B3EDB4F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9EDB8-3B55-48E6-A8D3-AE4A2892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AF67C5-D288-4845-B7AA-5A0927E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29</cp:revision>
  <cp:lastPrinted>2018-01-15T09:16:00Z</cp:lastPrinted>
  <dcterms:created xsi:type="dcterms:W3CDTF">2021-06-14T14:48:00Z</dcterms:created>
  <dcterms:modified xsi:type="dcterms:W3CDTF">2021-12-22T12:55:00Z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0x01010021512A45BA4C8D4B902C3ADB38DD9EBF</vt:lpwstr>
  </property>
</Properties>
</file>