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 </w:t>
      </w:r>
      <w:r w:rsidR="00C26DEE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26DEE">
        <w:rPr>
          <w:rFonts w:ascii="Garamond" w:hAnsi="Garamond" w:cs="Arial"/>
          <w:b/>
          <w:sz w:val="24"/>
          <w:szCs w:val="24"/>
        </w:rPr>
        <w:t>-DEC29</w:t>
      </w:r>
      <w:bookmarkStart w:id="0" w:name="_GoBack"/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r w:rsidR="000C1C86" w:rsidRPr="000C1C86">
        <w:rPr>
          <w:rFonts w:ascii="Garamond" w:hAnsi="Garamond"/>
          <w:i/>
          <w:sz w:val="24"/>
          <w:szCs w:val="24"/>
        </w:rPr>
        <w:t>cfr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lauream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>, istituzione etc…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Dettagliare per esteso oggetto, periodo, luogo, istituzione etc…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>ettagliare oggetto dell’attività svolta, periodo, luogo, istituzione, risultati etc…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26DEE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A76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26DEE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53CD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cf7fc38-fe93-47e2-b9f5-5714f5841c1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A53968-8ED8-43A3-96C9-AFF095F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3</cp:revision>
  <cp:lastPrinted>2021-07-13T13:51:00Z</cp:lastPrinted>
  <dcterms:created xsi:type="dcterms:W3CDTF">2021-07-13T13:37:00Z</dcterms:created>
  <dcterms:modified xsi:type="dcterms:W3CDTF">2021-07-13T13:51:00Z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